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4084" w14:textId="77777777" w:rsidR="00A74034" w:rsidRPr="002E7BE4" w:rsidRDefault="00A74034" w:rsidP="00A74034">
      <w:pPr>
        <w:rPr>
          <w:rFonts w:ascii="Arial" w:hAnsi="Arial" w:cs="Arial"/>
          <w:lang w:val="en-US"/>
        </w:rPr>
      </w:pPr>
    </w:p>
    <w:p w14:paraId="0BCBEE62" w14:textId="77777777" w:rsidR="00A74034" w:rsidRPr="002E7BE4" w:rsidRDefault="00A74034" w:rsidP="00A74034">
      <w:pPr>
        <w:tabs>
          <w:tab w:val="left" w:pos="1134"/>
          <w:tab w:val="right" w:leader="underscore" w:pos="8931"/>
        </w:tabs>
        <w:jc w:val="both"/>
        <w:rPr>
          <w:rFonts w:ascii="Arial" w:hAnsi="Arial" w:cs="Arial"/>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659264" behindDoc="1" locked="0" layoutInCell="1" allowOverlap="1" wp14:anchorId="07E2E5EE" wp14:editId="269B7EC1">
                <wp:simplePos x="0" y="0"/>
                <wp:positionH relativeFrom="column">
                  <wp:posOffset>31631</wp:posOffset>
                </wp:positionH>
                <wp:positionV relativeFrom="paragraph">
                  <wp:posOffset>-69646</wp:posOffset>
                </wp:positionV>
                <wp:extent cx="597535" cy="352425"/>
                <wp:effectExtent l="0" t="0" r="0" b="3175"/>
                <wp:wrapNone/>
                <wp:docPr id="2501" name="Octagon 2501"/>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353A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501" o:spid="_x0000_s1026" type="#_x0000_t10" style="position:absolute;left:0;text-align:left;margin-left:2.5pt;margin-top:-5.5pt;width:47.0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" fillcolor="#ed7d31 [3205]" stroked="f" strokeweight="1pt"/>
            </w:pict>
          </mc:Fallback>
        </mc:AlternateContent>
      </w: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3.</w:t>
      </w:r>
      <w:r>
        <w:rPr>
          <w:rFonts w:ascii="Arial" w:hAnsi="Arial" w:cs="Arial"/>
          <w:color w:val="FFFFFF" w:themeColor="background1"/>
          <w:sz w:val="28"/>
          <w:szCs w:val="28"/>
          <w:lang w:val="en-US"/>
        </w:rPr>
        <w:t>18</w:t>
      </w:r>
      <w:r w:rsidRPr="002E7BE4">
        <w:rPr>
          <w:rFonts w:ascii="Arial" w:hAnsi="Arial" w:cs="Arial"/>
          <w:color w:val="FFFFFF" w:themeColor="background1"/>
          <w:sz w:val="28"/>
          <w:szCs w:val="28"/>
          <w:lang w:val="en-US"/>
        </w:rPr>
        <w:t xml:space="preserve"> </w:t>
      </w:r>
      <w:r w:rsidRPr="002E7BE4">
        <w:rPr>
          <w:rFonts w:ascii="Arial" w:hAnsi="Arial" w:cs="Arial"/>
          <w:sz w:val="28"/>
          <w:szCs w:val="28"/>
          <w:lang w:val="en-US"/>
        </w:rPr>
        <w:tab/>
        <w:t>Connection of infrastructure</w:t>
      </w:r>
      <w:r w:rsidRPr="002E7BE4">
        <w:rPr>
          <w:rFonts w:ascii="Arial" w:hAnsi="Arial" w:cs="Arial"/>
          <w:sz w:val="28"/>
          <w:szCs w:val="28"/>
          <w:lang w:val="en-US"/>
        </w:rPr>
        <w:tab/>
        <w:t>KMIC/ESE</w:t>
      </w:r>
    </w:p>
    <w:p w14:paraId="2984E4B1" w14:textId="77777777" w:rsidR="00A74034" w:rsidRPr="002E7BE4" w:rsidRDefault="00A74034" w:rsidP="00A74034">
      <w:pPr>
        <w:ind w:left="1134"/>
        <w:jc w:val="both"/>
        <w:rPr>
          <w:rFonts w:ascii="Arial" w:hAnsi="Arial" w:cs="Arial"/>
          <w:sz w:val="22"/>
          <w:szCs w:val="22"/>
          <w:lang w:val="en-US"/>
        </w:rPr>
      </w:pPr>
    </w:p>
    <w:p w14:paraId="6A4631E4" w14:textId="77777777" w:rsidR="00A74034" w:rsidRPr="002E7BE4" w:rsidRDefault="00A74034" w:rsidP="00A74034">
      <w:pPr>
        <w:ind w:left="1134"/>
        <w:jc w:val="both"/>
        <w:rPr>
          <w:rFonts w:ascii="Arial" w:hAnsi="Arial" w:cs="Arial"/>
          <w:sz w:val="22"/>
          <w:szCs w:val="22"/>
          <w:lang w:val="en-US"/>
        </w:rPr>
      </w:pPr>
      <w:r w:rsidRPr="002E7BE4">
        <w:rPr>
          <w:rFonts w:ascii="Arial" w:hAnsi="Arial" w:cs="Arial"/>
          <w:sz w:val="22"/>
          <w:szCs w:val="22"/>
          <w:lang w:val="en-US"/>
        </w:rPr>
        <w:t xml:space="preserve">The Investor shall apply for power energization after electricity installation has been completed. The same procedure is applied for telecommunication, water and sewage system installations and connection to KMIC common system. </w:t>
      </w:r>
    </w:p>
    <w:p w14:paraId="21F4DEA2" w14:textId="77777777" w:rsidR="00A74034" w:rsidRPr="002E7BE4" w:rsidRDefault="00A74034" w:rsidP="00A74034">
      <w:pPr>
        <w:ind w:left="1134"/>
        <w:jc w:val="both"/>
        <w:rPr>
          <w:rFonts w:ascii="Arial" w:hAnsi="Arial" w:cs="Arial"/>
          <w:sz w:val="22"/>
          <w:szCs w:val="22"/>
          <w:lang w:val="en-US"/>
        </w:rPr>
      </w:pPr>
    </w:p>
    <w:tbl>
      <w:tblPr>
        <w:tblStyle w:val="a3"/>
        <w:tblW w:w="7933" w:type="dxa"/>
        <w:tblInd w:w="1134"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ook w:val="04A0" w:firstRow="1" w:lastRow="0" w:firstColumn="1" w:lastColumn="0" w:noHBand="0" w:noVBand="1"/>
      </w:tblPr>
      <w:tblGrid>
        <w:gridCol w:w="704"/>
        <w:gridCol w:w="511"/>
        <w:gridCol w:w="446"/>
        <w:gridCol w:w="637"/>
        <w:gridCol w:w="2276"/>
        <w:gridCol w:w="3359"/>
      </w:tblGrid>
      <w:tr w:rsidR="00A74034" w:rsidRPr="002E7BE4" w14:paraId="0902FA39" w14:textId="77777777" w:rsidTr="00936E4F">
        <w:trPr>
          <w:trHeight w:val="454"/>
        </w:trPr>
        <w:tc>
          <w:tcPr>
            <w:tcW w:w="7933" w:type="dxa"/>
            <w:gridSpan w:val="6"/>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4A0DA86B" w14:textId="77777777" w:rsidR="00A74034" w:rsidRPr="005331B6" w:rsidRDefault="00A74034" w:rsidP="00936E4F">
            <w:pPr>
              <w:tabs>
                <w:tab w:val="right" w:leader="hyphen" w:pos="7643"/>
              </w:tabs>
              <w:rPr>
                <w:rFonts w:ascii="Arial" w:hAnsi="Arial" w:cs="Arial"/>
                <w:color w:val="0070C0"/>
                <w:sz w:val="28"/>
                <w:szCs w:val="28"/>
                <w:lang w:val="en-US"/>
              </w:rPr>
            </w:pPr>
            <w:r w:rsidRPr="005331B6">
              <w:rPr>
                <w:rFonts w:ascii="Arial" w:hAnsi="Arial" w:cs="Arial"/>
                <w:color w:val="0070C0"/>
                <w:sz w:val="28"/>
                <w:szCs w:val="28"/>
                <w:lang w:val="en-US"/>
              </w:rPr>
              <w:t>Water supply</w:t>
            </w:r>
          </w:p>
        </w:tc>
      </w:tr>
      <w:tr w:rsidR="00A74034" w:rsidRPr="002E7BE4" w14:paraId="45F34CAA" w14:textId="77777777" w:rsidTr="00936E4F">
        <w:trPr>
          <w:trHeight w:val="454"/>
        </w:trPr>
        <w:tc>
          <w:tcPr>
            <w:tcW w:w="704" w:type="dxa"/>
            <w:vMerge w:val="restart"/>
            <w:tcBorders>
              <w:top w:val="single" w:sz="8" w:space="0" w:color="000000" w:themeColor="text1"/>
              <w:left w:val="single" w:sz="4" w:space="0" w:color="E7E6E6" w:themeColor="background2"/>
              <w:bottom w:val="nil"/>
              <w:right w:val="single" w:sz="8" w:space="0" w:color="000000" w:themeColor="text1"/>
            </w:tcBorders>
            <w:vAlign w:val="center"/>
          </w:tcPr>
          <w:p w14:paraId="52461F05" w14:textId="77777777" w:rsidR="00A74034" w:rsidRPr="002E7BE4" w:rsidRDefault="00A74034" w:rsidP="00936E4F">
            <w:pPr>
              <w:jc w:val="center"/>
              <w:rPr>
                <w:rFonts w:ascii="Arial" w:hAnsi="Arial" w:cs="Arial"/>
                <w:lang w:val="en-US"/>
              </w:rPr>
            </w:pPr>
          </w:p>
        </w:tc>
        <w:tc>
          <w:tcPr>
            <w:tcW w:w="511" w:type="dxa"/>
            <w:tcBorders>
              <w:top w:val="single" w:sz="8" w:space="0" w:color="000000" w:themeColor="text1"/>
              <w:left w:val="single" w:sz="8" w:space="0" w:color="000000" w:themeColor="text1"/>
              <w:bottom w:val="single" w:sz="4" w:space="0" w:color="FFFFFF" w:themeColor="background1"/>
              <w:right w:val="single" w:sz="8" w:space="0" w:color="000000" w:themeColor="text1"/>
            </w:tcBorders>
            <w:vAlign w:val="center"/>
          </w:tcPr>
          <w:p w14:paraId="6720D323" w14:textId="77777777" w:rsidR="00A74034" w:rsidRPr="002E7BE4" w:rsidRDefault="00A74034" w:rsidP="00936E4F">
            <w:pPr>
              <w:rPr>
                <w:rFonts w:ascii="Arial" w:hAnsi="Arial" w:cs="Arial"/>
                <w:lang w:val="en-US"/>
              </w:rPr>
            </w:pPr>
            <w:r w:rsidRPr="002E7BE4">
              <w:rPr>
                <w:rFonts w:ascii="Arial" w:hAnsi="Arial" w:cs="Arial"/>
                <w:lang w:val="en-US"/>
              </w:rPr>
              <w:t>a</w:t>
            </w:r>
          </w:p>
        </w:tc>
        <w:tc>
          <w:tcPr>
            <w:tcW w:w="6718" w:type="dxa"/>
            <w:gridSpan w:val="4"/>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7150DB20" w14:textId="77777777" w:rsidR="00A74034" w:rsidRPr="002E7BE4" w:rsidRDefault="00A74034" w:rsidP="00936E4F">
            <w:pPr>
              <w:rPr>
                <w:rFonts w:ascii="Arial" w:hAnsi="Arial" w:cs="Arial"/>
                <w:b/>
                <w:bCs/>
                <w:lang w:val="en-US"/>
              </w:rPr>
            </w:pPr>
            <w:r w:rsidRPr="002E7BE4">
              <w:rPr>
                <w:rFonts w:ascii="Arial" w:hAnsi="Arial" w:cs="Arial"/>
                <w:b/>
                <w:bCs/>
                <w:lang w:val="en-US"/>
              </w:rPr>
              <w:t>Water connection charge</w:t>
            </w:r>
          </w:p>
        </w:tc>
      </w:tr>
      <w:tr w:rsidR="00A74034" w:rsidRPr="002E7BE4" w14:paraId="1987C283" w14:textId="77777777" w:rsidTr="00936E4F">
        <w:trPr>
          <w:trHeight w:val="567"/>
        </w:trPr>
        <w:tc>
          <w:tcPr>
            <w:tcW w:w="704" w:type="dxa"/>
            <w:vMerge/>
            <w:tcBorders>
              <w:top w:val="nil"/>
              <w:left w:val="single" w:sz="4" w:space="0" w:color="E7E6E6" w:themeColor="background2"/>
              <w:bottom w:val="nil"/>
              <w:right w:val="single" w:sz="8" w:space="0" w:color="000000" w:themeColor="text1"/>
            </w:tcBorders>
            <w:vAlign w:val="center"/>
          </w:tcPr>
          <w:p w14:paraId="21D10148" w14:textId="77777777" w:rsidR="00A74034" w:rsidRPr="002E7BE4" w:rsidRDefault="00A74034" w:rsidP="00936E4F">
            <w:pPr>
              <w:jc w:val="center"/>
              <w:rPr>
                <w:rFonts w:ascii="Arial" w:hAnsi="Arial" w:cs="Arial"/>
                <w:lang w:val="en-US"/>
              </w:rPr>
            </w:pPr>
          </w:p>
        </w:tc>
        <w:tc>
          <w:tcPr>
            <w:tcW w:w="511" w:type="dxa"/>
            <w:vMerge w:val="restart"/>
            <w:tcBorders>
              <w:top w:val="single" w:sz="4" w:space="0" w:color="FFFFFF" w:themeColor="background1"/>
              <w:left w:val="single" w:sz="8" w:space="0" w:color="000000" w:themeColor="text1"/>
              <w:bottom w:val="nil"/>
              <w:right w:val="single" w:sz="8" w:space="0" w:color="000000" w:themeColor="text1"/>
            </w:tcBorders>
            <w:vAlign w:val="center"/>
          </w:tcPr>
          <w:p w14:paraId="6A2AF3BB" w14:textId="77777777" w:rsidR="00A74034" w:rsidRPr="002E7BE4" w:rsidRDefault="00A74034" w:rsidP="00936E4F">
            <w:pPr>
              <w:jc w:val="center"/>
              <w:rPr>
                <w:rFonts w:ascii="Arial" w:hAnsi="Arial" w:cs="Arial"/>
                <w:lang w:val="en-US"/>
              </w:rPr>
            </w:pPr>
          </w:p>
        </w:tc>
        <w:tc>
          <w:tcPr>
            <w:tcW w:w="3359" w:type="dxa"/>
            <w:gridSpan w:val="3"/>
            <w:tcBorders>
              <w:top w:val="single" w:sz="4" w:space="0" w:color="E7E6E6" w:themeColor="background2"/>
              <w:left w:val="single" w:sz="8" w:space="0" w:color="000000" w:themeColor="text1"/>
              <w:bottom w:val="single" w:sz="4" w:space="0" w:color="000000" w:themeColor="text1"/>
              <w:right w:val="single" w:sz="4" w:space="0" w:color="000000" w:themeColor="text1"/>
            </w:tcBorders>
            <w:vAlign w:val="center"/>
          </w:tcPr>
          <w:p w14:paraId="0CD53F34" w14:textId="77777777" w:rsidR="00A74034" w:rsidRPr="002E7BE4" w:rsidRDefault="00A74034" w:rsidP="00936E4F">
            <w:pPr>
              <w:pStyle w:val="a4"/>
              <w:spacing w:before="0" w:beforeAutospacing="0" w:after="0" w:afterAutospacing="0"/>
              <w:jc w:val="center"/>
              <w:rPr>
                <w:rFonts w:ascii="Arial" w:hAnsi="Arial" w:cs="Arial"/>
                <w:b/>
                <w:bCs/>
                <w:sz w:val="22"/>
                <w:szCs w:val="22"/>
                <w:lang w:val="en-US"/>
              </w:rPr>
            </w:pPr>
            <w:r w:rsidRPr="002E7BE4">
              <w:rPr>
                <w:rFonts w:ascii="Arial" w:hAnsi="Arial" w:cs="Arial"/>
                <w:b/>
                <w:bCs/>
                <w:sz w:val="22"/>
                <w:szCs w:val="22"/>
                <w:lang w:val="en-US"/>
              </w:rPr>
              <w:t>Peak water demand</w:t>
            </w:r>
          </w:p>
          <w:p w14:paraId="6BE66170" w14:textId="77777777" w:rsidR="00A74034" w:rsidRPr="002E7BE4" w:rsidRDefault="00A74034" w:rsidP="00936E4F">
            <w:pPr>
              <w:jc w:val="center"/>
              <w:rPr>
                <w:rFonts w:ascii="Arial" w:hAnsi="Arial" w:cs="Arial"/>
                <w:sz w:val="22"/>
                <w:szCs w:val="22"/>
                <w:lang w:val="en-US"/>
              </w:rPr>
            </w:pPr>
            <w:r w:rsidRPr="002E7BE4">
              <w:rPr>
                <w:rFonts w:ascii="Arial" w:hAnsi="Arial" w:cs="Arial"/>
                <w:b/>
                <w:bCs/>
                <w:sz w:val="22"/>
                <w:szCs w:val="22"/>
                <w:lang w:val="en-US"/>
              </w:rPr>
              <w:t>(cu-m/ha/24 hours)</w:t>
            </w:r>
          </w:p>
        </w:tc>
        <w:tc>
          <w:tcPr>
            <w:tcW w:w="3359" w:type="dxa"/>
            <w:tcBorders>
              <w:top w:val="single" w:sz="4" w:space="0" w:color="E7E6E6" w:themeColor="background2"/>
              <w:left w:val="single" w:sz="4" w:space="0" w:color="000000" w:themeColor="text1"/>
              <w:bottom w:val="single" w:sz="4" w:space="0" w:color="000000" w:themeColor="text1"/>
              <w:right w:val="single" w:sz="4" w:space="0" w:color="E7E6E6" w:themeColor="background2"/>
            </w:tcBorders>
            <w:vAlign w:val="center"/>
          </w:tcPr>
          <w:p w14:paraId="003504B2" w14:textId="77777777" w:rsidR="00A74034" w:rsidRPr="002E7BE4" w:rsidRDefault="00A74034" w:rsidP="00936E4F">
            <w:pPr>
              <w:pStyle w:val="a4"/>
              <w:spacing w:before="0" w:beforeAutospacing="0" w:after="0" w:afterAutospacing="0"/>
              <w:jc w:val="center"/>
              <w:rPr>
                <w:rFonts w:ascii="Arial" w:hAnsi="Arial" w:cs="Arial"/>
                <w:b/>
                <w:bCs/>
                <w:sz w:val="22"/>
                <w:szCs w:val="22"/>
                <w:lang w:val="en-US"/>
              </w:rPr>
            </w:pPr>
            <w:r w:rsidRPr="002E7BE4">
              <w:rPr>
                <w:rFonts w:ascii="Arial" w:hAnsi="Arial" w:cs="Arial"/>
                <w:b/>
                <w:bCs/>
                <w:sz w:val="22"/>
                <w:szCs w:val="22"/>
                <w:lang w:val="en-US"/>
              </w:rPr>
              <w:t>Charge—Net of any tax</w:t>
            </w:r>
          </w:p>
          <w:p w14:paraId="0D01CFA6" w14:textId="77777777" w:rsidR="00A74034" w:rsidRPr="002E7BE4" w:rsidRDefault="00A74034" w:rsidP="00936E4F">
            <w:pPr>
              <w:jc w:val="center"/>
              <w:rPr>
                <w:rFonts w:ascii="Arial" w:hAnsi="Arial" w:cs="Arial"/>
                <w:sz w:val="22"/>
                <w:szCs w:val="22"/>
                <w:lang w:val="en-US"/>
              </w:rPr>
            </w:pPr>
            <w:r w:rsidRPr="002E7BE4">
              <w:rPr>
                <w:rFonts w:ascii="Arial" w:hAnsi="Arial" w:cs="Arial"/>
                <w:b/>
                <w:bCs/>
                <w:sz w:val="22"/>
                <w:szCs w:val="22"/>
                <w:lang w:val="en-US"/>
              </w:rPr>
              <w:t>(in USD)</w:t>
            </w:r>
          </w:p>
        </w:tc>
      </w:tr>
      <w:tr w:rsidR="00A74034" w:rsidRPr="002E7BE4" w14:paraId="636A7C82" w14:textId="77777777" w:rsidTr="00936E4F">
        <w:trPr>
          <w:trHeight w:val="340"/>
        </w:trPr>
        <w:tc>
          <w:tcPr>
            <w:tcW w:w="704" w:type="dxa"/>
            <w:vMerge/>
            <w:tcBorders>
              <w:top w:val="nil"/>
              <w:left w:val="single" w:sz="4" w:space="0" w:color="E7E6E6" w:themeColor="background2"/>
              <w:bottom w:val="nil"/>
              <w:right w:val="single" w:sz="8" w:space="0" w:color="000000" w:themeColor="text1"/>
            </w:tcBorders>
            <w:vAlign w:val="center"/>
          </w:tcPr>
          <w:p w14:paraId="083DEE15" w14:textId="77777777" w:rsidR="00A74034" w:rsidRPr="002E7BE4" w:rsidRDefault="00A74034" w:rsidP="00936E4F">
            <w:pPr>
              <w:jc w:val="center"/>
              <w:rPr>
                <w:rFonts w:ascii="Arial" w:hAnsi="Arial" w:cs="Arial"/>
                <w:lang w:val="en-US"/>
              </w:rPr>
            </w:pPr>
          </w:p>
        </w:tc>
        <w:tc>
          <w:tcPr>
            <w:tcW w:w="511" w:type="dxa"/>
            <w:vMerge/>
            <w:tcBorders>
              <w:top w:val="nil"/>
              <w:left w:val="single" w:sz="8" w:space="0" w:color="000000" w:themeColor="text1"/>
              <w:bottom w:val="nil"/>
              <w:right w:val="single" w:sz="8" w:space="0" w:color="000000" w:themeColor="text1"/>
            </w:tcBorders>
            <w:vAlign w:val="center"/>
          </w:tcPr>
          <w:p w14:paraId="4AE33F55" w14:textId="77777777" w:rsidR="00A74034" w:rsidRPr="002E7BE4" w:rsidRDefault="00A74034" w:rsidP="00936E4F">
            <w:pPr>
              <w:jc w:val="center"/>
              <w:rPr>
                <w:rFonts w:ascii="Arial" w:hAnsi="Arial" w:cs="Arial"/>
                <w:lang w:val="en-US"/>
              </w:rPr>
            </w:pPr>
          </w:p>
        </w:tc>
        <w:tc>
          <w:tcPr>
            <w:tcW w:w="3359"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0B017BB5" w14:textId="77777777" w:rsidR="00A74034" w:rsidRPr="002E7BE4" w:rsidRDefault="00A74034" w:rsidP="00936E4F">
            <w:pPr>
              <w:ind w:right="927"/>
              <w:jc w:val="right"/>
              <w:rPr>
                <w:rFonts w:ascii="Arial" w:hAnsi="Arial" w:cs="Arial"/>
                <w:lang w:val="en-US"/>
              </w:rPr>
            </w:pPr>
            <w:r w:rsidRPr="002E7BE4">
              <w:rPr>
                <w:rFonts w:ascii="Arial" w:hAnsi="Arial" w:cs="Arial"/>
                <w:lang w:val="en-US"/>
              </w:rPr>
              <w:t>0 – 60</w:t>
            </w:r>
          </w:p>
        </w:tc>
        <w:tc>
          <w:tcPr>
            <w:tcW w:w="3359"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52F3860D" w14:textId="77777777" w:rsidR="00A74034" w:rsidRPr="002E7BE4" w:rsidRDefault="00A74034" w:rsidP="00936E4F">
            <w:pPr>
              <w:ind w:right="1021"/>
              <w:jc w:val="right"/>
              <w:rPr>
                <w:rFonts w:ascii="Arial" w:hAnsi="Arial" w:cs="Arial"/>
                <w:lang w:val="en-US"/>
              </w:rPr>
            </w:pPr>
            <w:r w:rsidRPr="002E7BE4">
              <w:rPr>
                <w:rFonts w:ascii="Arial" w:hAnsi="Arial" w:cs="Arial"/>
                <w:lang w:val="en-US"/>
              </w:rPr>
              <w:tab/>
              <w:t>10,000</w:t>
            </w:r>
          </w:p>
        </w:tc>
      </w:tr>
      <w:tr w:rsidR="00A74034" w:rsidRPr="002E7BE4" w14:paraId="5139B7A0" w14:textId="77777777" w:rsidTr="00936E4F">
        <w:trPr>
          <w:trHeight w:val="340"/>
        </w:trPr>
        <w:tc>
          <w:tcPr>
            <w:tcW w:w="704" w:type="dxa"/>
            <w:vMerge/>
            <w:tcBorders>
              <w:top w:val="nil"/>
              <w:left w:val="single" w:sz="4" w:space="0" w:color="E7E6E6" w:themeColor="background2"/>
              <w:bottom w:val="nil"/>
              <w:right w:val="single" w:sz="8" w:space="0" w:color="000000" w:themeColor="text1"/>
            </w:tcBorders>
            <w:vAlign w:val="center"/>
          </w:tcPr>
          <w:p w14:paraId="073774A0" w14:textId="77777777" w:rsidR="00A74034" w:rsidRPr="002E7BE4" w:rsidRDefault="00A74034" w:rsidP="00936E4F">
            <w:pPr>
              <w:jc w:val="center"/>
              <w:rPr>
                <w:rFonts w:ascii="Arial" w:hAnsi="Arial" w:cs="Arial"/>
                <w:lang w:val="en-US"/>
              </w:rPr>
            </w:pPr>
          </w:p>
        </w:tc>
        <w:tc>
          <w:tcPr>
            <w:tcW w:w="511" w:type="dxa"/>
            <w:vMerge/>
            <w:tcBorders>
              <w:top w:val="nil"/>
              <w:left w:val="single" w:sz="8" w:space="0" w:color="000000" w:themeColor="text1"/>
              <w:bottom w:val="nil"/>
              <w:right w:val="single" w:sz="8" w:space="0" w:color="000000" w:themeColor="text1"/>
            </w:tcBorders>
            <w:vAlign w:val="center"/>
          </w:tcPr>
          <w:p w14:paraId="7581D917" w14:textId="77777777" w:rsidR="00A74034" w:rsidRPr="002E7BE4" w:rsidRDefault="00A74034" w:rsidP="00936E4F">
            <w:pPr>
              <w:jc w:val="center"/>
              <w:rPr>
                <w:rFonts w:ascii="Arial" w:hAnsi="Arial" w:cs="Arial"/>
                <w:lang w:val="en-US"/>
              </w:rPr>
            </w:pPr>
          </w:p>
        </w:tc>
        <w:tc>
          <w:tcPr>
            <w:tcW w:w="3359"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117245B0" w14:textId="77777777" w:rsidR="00A74034" w:rsidRPr="002E7BE4" w:rsidRDefault="00A74034" w:rsidP="00936E4F">
            <w:pPr>
              <w:ind w:right="927"/>
              <w:jc w:val="right"/>
              <w:rPr>
                <w:rFonts w:ascii="Arial" w:hAnsi="Arial" w:cs="Arial"/>
                <w:lang w:val="en-US"/>
              </w:rPr>
            </w:pPr>
            <w:r w:rsidRPr="002E7BE4">
              <w:rPr>
                <w:rFonts w:ascii="Arial" w:hAnsi="Arial" w:cs="Arial"/>
                <w:lang w:val="en-US"/>
              </w:rPr>
              <w:t>&gt; 60 – 120</w:t>
            </w:r>
          </w:p>
        </w:tc>
        <w:tc>
          <w:tcPr>
            <w:tcW w:w="3359"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67E82E00" w14:textId="77777777" w:rsidR="00A74034" w:rsidRPr="002E7BE4" w:rsidRDefault="00A74034" w:rsidP="00936E4F">
            <w:pPr>
              <w:ind w:right="1021"/>
              <w:jc w:val="right"/>
              <w:rPr>
                <w:rFonts w:ascii="Arial" w:hAnsi="Arial" w:cs="Arial"/>
                <w:lang w:val="en-US"/>
              </w:rPr>
            </w:pPr>
            <w:r w:rsidRPr="002E7BE4">
              <w:rPr>
                <w:rFonts w:ascii="Arial" w:hAnsi="Arial" w:cs="Arial"/>
                <w:lang w:val="en-US"/>
              </w:rPr>
              <w:tab/>
              <w:t>50,000</w:t>
            </w:r>
          </w:p>
        </w:tc>
      </w:tr>
      <w:tr w:rsidR="00A74034" w:rsidRPr="002E7BE4" w14:paraId="5C86CA5E" w14:textId="77777777" w:rsidTr="00936E4F">
        <w:trPr>
          <w:trHeight w:val="340"/>
        </w:trPr>
        <w:tc>
          <w:tcPr>
            <w:tcW w:w="704" w:type="dxa"/>
            <w:vMerge/>
            <w:tcBorders>
              <w:top w:val="nil"/>
              <w:left w:val="single" w:sz="4" w:space="0" w:color="E7E6E6" w:themeColor="background2"/>
              <w:bottom w:val="nil"/>
              <w:right w:val="single" w:sz="8" w:space="0" w:color="000000" w:themeColor="text1"/>
            </w:tcBorders>
            <w:vAlign w:val="center"/>
          </w:tcPr>
          <w:p w14:paraId="2E46581B" w14:textId="77777777" w:rsidR="00A74034" w:rsidRPr="002E7BE4" w:rsidRDefault="00A74034" w:rsidP="00936E4F">
            <w:pPr>
              <w:jc w:val="center"/>
              <w:rPr>
                <w:rFonts w:ascii="Arial" w:hAnsi="Arial" w:cs="Arial"/>
                <w:lang w:val="en-US"/>
              </w:rPr>
            </w:pPr>
          </w:p>
        </w:tc>
        <w:tc>
          <w:tcPr>
            <w:tcW w:w="511" w:type="dxa"/>
            <w:vMerge/>
            <w:tcBorders>
              <w:top w:val="nil"/>
              <w:left w:val="single" w:sz="8" w:space="0" w:color="000000" w:themeColor="text1"/>
              <w:bottom w:val="nil"/>
              <w:right w:val="single" w:sz="8" w:space="0" w:color="000000" w:themeColor="text1"/>
            </w:tcBorders>
            <w:vAlign w:val="center"/>
          </w:tcPr>
          <w:p w14:paraId="5BAEDBA0" w14:textId="77777777" w:rsidR="00A74034" w:rsidRPr="002E7BE4" w:rsidRDefault="00A74034" w:rsidP="00936E4F">
            <w:pPr>
              <w:jc w:val="center"/>
              <w:rPr>
                <w:rFonts w:ascii="Arial" w:hAnsi="Arial" w:cs="Arial"/>
                <w:lang w:val="en-US"/>
              </w:rPr>
            </w:pPr>
          </w:p>
        </w:tc>
        <w:tc>
          <w:tcPr>
            <w:tcW w:w="3359"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5E2C5E78" w14:textId="77777777" w:rsidR="00A74034" w:rsidRPr="002E7BE4" w:rsidRDefault="00A74034" w:rsidP="00936E4F">
            <w:pPr>
              <w:ind w:right="927"/>
              <w:jc w:val="right"/>
              <w:rPr>
                <w:rFonts w:ascii="Arial" w:hAnsi="Arial" w:cs="Arial"/>
                <w:lang w:val="en-US"/>
              </w:rPr>
            </w:pPr>
            <w:r w:rsidRPr="002E7BE4">
              <w:rPr>
                <w:rFonts w:ascii="Arial" w:hAnsi="Arial" w:cs="Arial"/>
                <w:lang w:val="en-US"/>
              </w:rPr>
              <w:t>&gt; 120 – 180</w:t>
            </w:r>
          </w:p>
        </w:tc>
        <w:tc>
          <w:tcPr>
            <w:tcW w:w="3359"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6730F729" w14:textId="77777777" w:rsidR="00A74034" w:rsidRPr="002E7BE4" w:rsidRDefault="00A74034" w:rsidP="00936E4F">
            <w:pPr>
              <w:ind w:right="1021"/>
              <w:jc w:val="right"/>
              <w:rPr>
                <w:rFonts w:ascii="Arial" w:hAnsi="Arial" w:cs="Arial"/>
                <w:lang w:val="en-US"/>
              </w:rPr>
            </w:pPr>
            <w:r w:rsidRPr="002E7BE4">
              <w:rPr>
                <w:rFonts w:ascii="Arial" w:hAnsi="Arial" w:cs="Arial"/>
                <w:lang w:val="en-US"/>
              </w:rPr>
              <w:tab/>
              <w:t>100,000</w:t>
            </w:r>
          </w:p>
        </w:tc>
      </w:tr>
      <w:tr w:rsidR="00A74034" w:rsidRPr="002E7BE4" w14:paraId="38F1FD48" w14:textId="77777777" w:rsidTr="00936E4F">
        <w:trPr>
          <w:trHeight w:val="340"/>
        </w:trPr>
        <w:tc>
          <w:tcPr>
            <w:tcW w:w="704" w:type="dxa"/>
            <w:vMerge/>
            <w:tcBorders>
              <w:top w:val="nil"/>
              <w:left w:val="single" w:sz="4" w:space="0" w:color="E7E6E6" w:themeColor="background2"/>
              <w:bottom w:val="nil"/>
              <w:right w:val="single" w:sz="8" w:space="0" w:color="000000" w:themeColor="text1"/>
            </w:tcBorders>
            <w:vAlign w:val="center"/>
          </w:tcPr>
          <w:p w14:paraId="3A0E5642" w14:textId="77777777" w:rsidR="00A74034" w:rsidRPr="002E7BE4" w:rsidRDefault="00A74034" w:rsidP="00936E4F">
            <w:pPr>
              <w:jc w:val="center"/>
              <w:rPr>
                <w:rFonts w:ascii="Arial" w:hAnsi="Arial" w:cs="Arial"/>
                <w:lang w:val="en-US"/>
              </w:rPr>
            </w:pPr>
          </w:p>
        </w:tc>
        <w:tc>
          <w:tcPr>
            <w:tcW w:w="511" w:type="dxa"/>
            <w:vMerge/>
            <w:tcBorders>
              <w:top w:val="nil"/>
              <w:left w:val="single" w:sz="8" w:space="0" w:color="000000" w:themeColor="text1"/>
              <w:bottom w:val="single" w:sz="8" w:space="0" w:color="000000" w:themeColor="text1"/>
              <w:right w:val="single" w:sz="8" w:space="0" w:color="000000" w:themeColor="text1"/>
            </w:tcBorders>
            <w:vAlign w:val="center"/>
          </w:tcPr>
          <w:p w14:paraId="53100136" w14:textId="77777777" w:rsidR="00A74034" w:rsidRPr="002E7BE4" w:rsidRDefault="00A74034" w:rsidP="00936E4F">
            <w:pPr>
              <w:jc w:val="center"/>
              <w:rPr>
                <w:rFonts w:ascii="Arial" w:hAnsi="Arial" w:cs="Arial"/>
                <w:lang w:val="en-US"/>
              </w:rPr>
            </w:pPr>
          </w:p>
        </w:tc>
        <w:tc>
          <w:tcPr>
            <w:tcW w:w="3359" w:type="dxa"/>
            <w:gridSpan w:val="3"/>
            <w:tcBorders>
              <w:top w:val="single" w:sz="4" w:space="0" w:color="000000" w:themeColor="text1"/>
              <w:left w:val="single" w:sz="8" w:space="0" w:color="000000" w:themeColor="text1"/>
              <w:bottom w:val="single" w:sz="8" w:space="0" w:color="000000" w:themeColor="text1"/>
              <w:right w:val="single" w:sz="4" w:space="0" w:color="000000" w:themeColor="text1"/>
            </w:tcBorders>
            <w:vAlign w:val="center"/>
          </w:tcPr>
          <w:p w14:paraId="280B494A" w14:textId="77777777" w:rsidR="00A74034" w:rsidRPr="002E7BE4" w:rsidRDefault="00A74034" w:rsidP="00936E4F">
            <w:pPr>
              <w:ind w:right="927"/>
              <w:jc w:val="right"/>
              <w:rPr>
                <w:rFonts w:ascii="Arial" w:hAnsi="Arial" w:cs="Arial"/>
                <w:lang w:val="en-US"/>
              </w:rPr>
            </w:pPr>
            <w:r w:rsidRPr="002E7BE4">
              <w:rPr>
                <w:rFonts w:ascii="Arial" w:hAnsi="Arial" w:cs="Arial"/>
                <w:lang w:val="en-US"/>
              </w:rPr>
              <w:t>&gt; 180</w:t>
            </w:r>
          </w:p>
        </w:tc>
        <w:tc>
          <w:tcPr>
            <w:tcW w:w="3359" w:type="dxa"/>
            <w:tcBorders>
              <w:top w:val="single" w:sz="4" w:space="0" w:color="000000" w:themeColor="text1"/>
              <w:left w:val="single" w:sz="4" w:space="0" w:color="000000" w:themeColor="text1"/>
              <w:bottom w:val="single" w:sz="8" w:space="0" w:color="000000" w:themeColor="text1"/>
              <w:right w:val="single" w:sz="4" w:space="0" w:color="E7E6E6" w:themeColor="background2"/>
            </w:tcBorders>
            <w:vAlign w:val="center"/>
          </w:tcPr>
          <w:p w14:paraId="54075919" w14:textId="77777777" w:rsidR="00A74034" w:rsidRPr="002E7BE4" w:rsidRDefault="00A74034" w:rsidP="00936E4F">
            <w:pPr>
              <w:ind w:right="1021"/>
              <w:jc w:val="right"/>
              <w:rPr>
                <w:rFonts w:ascii="Arial" w:hAnsi="Arial" w:cs="Arial"/>
                <w:lang w:val="en-US"/>
              </w:rPr>
            </w:pPr>
            <w:r w:rsidRPr="002E7BE4">
              <w:rPr>
                <w:rFonts w:ascii="Arial" w:hAnsi="Arial" w:cs="Arial"/>
                <w:lang w:val="en-US"/>
              </w:rPr>
              <w:t>To be discussed</w:t>
            </w:r>
          </w:p>
        </w:tc>
      </w:tr>
      <w:tr w:rsidR="00A74034" w:rsidRPr="002E7BE4" w14:paraId="42677AC7" w14:textId="77777777" w:rsidTr="00936E4F">
        <w:trPr>
          <w:trHeight w:val="454"/>
        </w:trPr>
        <w:tc>
          <w:tcPr>
            <w:tcW w:w="704" w:type="dxa"/>
            <w:vMerge/>
            <w:tcBorders>
              <w:top w:val="nil"/>
              <w:left w:val="single" w:sz="4" w:space="0" w:color="E7E6E6" w:themeColor="background2"/>
              <w:bottom w:val="nil"/>
              <w:right w:val="single" w:sz="8" w:space="0" w:color="000000" w:themeColor="text1"/>
            </w:tcBorders>
            <w:vAlign w:val="center"/>
          </w:tcPr>
          <w:p w14:paraId="368E8DE5" w14:textId="77777777" w:rsidR="00A74034" w:rsidRPr="002E7BE4" w:rsidRDefault="00A74034" w:rsidP="00936E4F">
            <w:pPr>
              <w:jc w:val="center"/>
              <w:rPr>
                <w:rFonts w:ascii="Arial" w:hAnsi="Arial" w:cs="Arial"/>
                <w:lang w:val="en-US"/>
              </w:rPr>
            </w:pPr>
          </w:p>
        </w:tc>
        <w:tc>
          <w:tcPr>
            <w:tcW w:w="7229" w:type="dxa"/>
            <w:gridSpan w:val="5"/>
            <w:tcBorders>
              <w:top w:val="single" w:sz="8" w:space="0" w:color="000000" w:themeColor="text1"/>
              <w:left w:val="single" w:sz="8" w:space="0" w:color="000000" w:themeColor="text1"/>
              <w:bottom w:val="single" w:sz="8" w:space="0" w:color="000000" w:themeColor="text1"/>
              <w:right w:val="single" w:sz="4" w:space="0" w:color="E7E6E6" w:themeColor="background2"/>
            </w:tcBorders>
            <w:vAlign w:val="center"/>
          </w:tcPr>
          <w:p w14:paraId="15E662C2" w14:textId="77777777" w:rsidR="00A74034" w:rsidRPr="002E7BE4" w:rsidRDefault="00A74034" w:rsidP="00936E4F">
            <w:pPr>
              <w:rPr>
                <w:rFonts w:ascii="Arial" w:hAnsi="Arial" w:cs="Arial"/>
                <w:b/>
                <w:bCs/>
                <w:lang w:val="en-US"/>
              </w:rPr>
            </w:pPr>
            <w:r w:rsidRPr="002E7BE4">
              <w:rPr>
                <w:rFonts w:ascii="Arial" w:hAnsi="Arial" w:cs="Arial"/>
                <w:b/>
                <w:bCs/>
                <w:lang w:val="en-US"/>
              </w:rPr>
              <w:t>Note</w:t>
            </w:r>
          </w:p>
        </w:tc>
      </w:tr>
      <w:tr w:rsidR="00A74034" w:rsidRPr="002E7BE4" w14:paraId="2C608A67" w14:textId="77777777" w:rsidTr="00936E4F">
        <w:trPr>
          <w:trHeight w:val="680"/>
        </w:trPr>
        <w:tc>
          <w:tcPr>
            <w:tcW w:w="704" w:type="dxa"/>
            <w:vMerge/>
            <w:tcBorders>
              <w:top w:val="nil"/>
              <w:left w:val="single" w:sz="4" w:space="0" w:color="E7E6E6" w:themeColor="background2"/>
              <w:bottom w:val="nil"/>
              <w:right w:val="single" w:sz="8" w:space="0" w:color="000000" w:themeColor="text1"/>
            </w:tcBorders>
            <w:vAlign w:val="center"/>
          </w:tcPr>
          <w:p w14:paraId="16DDF704" w14:textId="77777777" w:rsidR="00A74034" w:rsidRPr="002E7BE4" w:rsidRDefault="00A74034" w:rsidP="00936E4F">
            <w:pPr>
              <w:jc w:val="center"/>
              <w:rPr>
                <w:rFonts w:ascii="Arial" w:hAnsi="Arial" w:cs="Arial"/>
                <w:lang w:val="en-US"/>
              </w:rPr>
            </w:pPr>
          </w:p>
        </w:tc>
        <w:tc>
          <w:tcPr>
            <w:tcW w:w="511" w:type="dxa"/>
            <w:vMerge w:val="restart"/>
            <w:tcBorders>
              <w:top w:val="single" w:sz="8" w:space="0" w:color="000000" w:themeColor="text1"/>
              <w:left w:val="single" w:sz="8" w:space="0" w:color="000000" w:themeColor="text1"/>
              <w:right w:val="single" w:sz="8" w:space="0" w:color="000000" w:themeColor="text1"/>
            </w:tcBorders>
          </w:tcPr>
          <w:p w14:paraId="5C5A1C4F" w14:textId="77777777" w:rsidR="00A74034" w:rsidRPr="002E7BE4" w:rsidRDefault="00A74034" w:rsidP="00936E4F">
            <w:pPr>
              <w:spacing w:before="80"/>
              <w:jc w:val="center"/>
              <w:rPr>
                <w:rFonts w:ascii="Arial" w:hAnsi="Arial" w:cs="Arial"/>
                <w:lang w:val="en-US"/>
              </w:rPr>
            </w:pPr>
          </w:p>
        </w:tc>
        <w:tc>
          <w:tcPr>
            <w:tcW w:w="446"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tcPr>
          <w:p w14:paraId="07FCE3F6" w14:textId="77777777" w:rsidR="00A74034" w:rsidRPr="002E7BE4" w:rsidRDefault="00A74034" w:rsidP="00936E4F">
            <w:pPr>
              <w:spacing w:before="60"/>
              <w:jc w:val="center"/>
              <w:rPr>
                <w:rFonts w:ascii="Arial" w:hAnsi="Arial" w:cs="Arial"/>
                <w:lang w:val="en-US"/>
              </w:rPr>
            </w:pPr>
            <w:r>
              <w:rPr>
                <w:rFonts w:ascii="Arial" w:hAnsi="Arial" w:cs="Arial"/>
                <w:lang w:val="en-US"/>
              </w:rPr>
              <w:t>1</w:t>
            </w:r>
          </w:p>
        </w:tc>
        <w:tc>
          <w:tcPr>
            <w:tcW w:w="6272" w:type="dxa"/>
            <w:gridSpan w:val="3"/>
            <w:tcBorders>
              <w:top w:val="single" w:sz="8" w:space="0" w:color="000000" w:themeColor="text1"/>
              <w:left w:val="single" w:sz="4" w:space="0" w:color="E7E6E6" w:themeColor="background2"/>
              <w:bottom w:val="single" w:sz="4" w:space="0" w:color="E7E6E6" w:themeColor="background2"/>
              <w:right w:val="single" w:sz="4" w:space="0" w:color="E7E6E6" w:themeColor="background2"/>
            </w:tcBorders>
            <w:vAlign w:val="center"/>
          </w:tcPr>
          <w:p w14:paraId="0BC1FF01" w14:textId="77777777" w:rsidR="00A74034" w:rsidRPr="002E7BE4" w:rsidRDefault="00A74034" w:rsidP="00936E4F">
            <w:pPr>
              <w:jc w:val="both"/>
              <w:rPr>
                <w:rFonts w:ascii="Arial" w:hAnsi="Arial" w:cs="Arial"/>
                <w:lang w:val="en-US"/>
              </w:rPr>
            </w:pPr>
            <w:r w:rsidRPr="002E7BE4">
              <w:rPr>
                <w:rFonts w:ascii="ArialMT" w:hAnsi="ArialMT"/>
              </w:rPr>
              <w:t>Cost for installation of new pipelines and/or connection is exclusive.</w:t>
            </w:r>
          </w:p>
        </w:tc>
      </w:tr>
      <w:tr w:rsidR="00A74034" w:rsidRPr="002E7BE4" w14:paraId="6FCCBA1C" w14:textId="77777777" w:rsidTr="00936E4F">
        <w:trPr>
          <w:trHeight w:val="680"/>
        </w:trPr>
        <w:tc>
          <w:tcPr>
            <w:tcW w:w="704" w:type="dxa"/>
            <w:vMerge/>
            <w:tcBorders>
              <w:top w:val="nil"/>
              <w:left w:val="single" w:sz="4" w:space="0" w:color="E7E6E6" w:themeColor="background2"/>
              <w:bottom w:val="nil"/>
              <w:right w:val="single" w:sz="8" w:space="0" w:color="000000" w:themeColor="text1"/>
            </w:tcBorders>
            <w:vAlign w:val="center"/>
          </w:tcPr>
          <w:p w14:paraId="0EAA5E5F" w14:textId="77777777" w:rsidR="00A74034" w:rsidRPr="002E7BE4" w:rsidRDefault="00A74034" w:rsidP="00936E4F">
            <w:pPr>
              <w:jc w:val="center"/>
              <w:rPr>
                <w:rFonts w:ascii="Arial" w:hAnsi="Arial" w:cs="Arial"/>
                <w:lang w:val="en-US"/>
              </w:rPr>
            </w:pPr>
          </w:p>
        </w:tc>
        <w:tc>
          <w:tcPr>
            <w:tcW w:w="511" w:type="dxa"/>
            <w:vMerge/>
            <w:tcBorders>
              <w:left w:val="single" w:sz="8" w:space="0" w:color="000000" w:themeColor="text1"/>
              <w:right w:val="single" w:sz="8" w:space="0" w:color="000000" w:themeColor="text1"/>
            </w:tcBorders>
          </w:tcPr>
          <w:p w14:paraId="38F32AE5" w14:textId="77777777" w:rsidR="00A74034" w:rsidRPr="002E7BE4" w:rsidRDefault="00A74034" w:rsidP="00936E4F">
            <w:pPr>
              <w:spacing w:before="80"/>
              <w:jc w:val="center"/>
              <w:rPr>
                <w:rFonts w:ascii="Arial" w:hAnsi="Arial" w:cs="Arial"/>
                <w:lang w:val="en-US"/>
              </w:rPr>
            </w:pPr>
          </w:p>
        </w:tc>
        <w:tc>
          <w:tcPr>
            <w:tcW w:w="446"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63C15880" w14:textId="77777777" w:rsidR="00A74034" w:rsidRPr="002E7BE4" w:rsidRDefault="00A74034" w:rsidP="00936E4F">
            <w:pPr>
              <w:spacing w:before="60"/>
              <w:jc w:val="center"/>
              <w:rPr>
                <w:rFonts w:ascii="Arial" w:hAnsi="Arial" w:cs="Arial"/>
                <w:lang w:val="en-US"/>
              </w:rPr>
            </w:pPr>
            <w:r>
              <w:rPr>
                <w:rFonts w:ascii="Arial" w:hAnsi="Arial" w:cs="Arial"/>
                <w:lang w:val="en-US"/>
              </w:rPr>
              <w:t>2</w:t>
            </w:r>
          </w:p>
        </w:tc>
        <w:tc>
          <w:tcPr>
            <w:tcW w:w="6272"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B6D0104" w14:textId="77777777" w:rsidR="00A74034" w:rsidRPr="002E7BE4" w:rsidRDefault="00A74034" w:rsidP="00936E4F">
            <w:pPr>
              <w:jc w:val="both"/>
              <w:rPr>
                <w:rFonts w:ascii="Arial" w:hAnsi="Arial" w:cs="Arial"/>
                <w:lang w:val="en-US"/>
              </w:rPr>
            </w:pPr>
            <w:r w:rsidRPr="002E7BE4">
              <w:rPr>
                <w:rFonts w:ascii="ArialMT" w:hAnsi="ArialMT"/>
                <w:lang w:val="en-US"/>
              </w:rPr>
              <w:t>For the</w:t>
            </w:r>
            <w:r w:rsidRPr="002E7BE4">
              <w:rPr>
                <w:rFonts w:ascii="ArialMT" w:hAnsi="ArialMT"/>
              </w:rPr>
              <w:t xml:space="preserve"> first year, the </w:t>
            </w:r>
            <w:r w:rsidRPr="002E7BE4">
              <w:rPr>
                <w:rFonts w:ascii="ArialMT" w:hAnsi="ArialMT"/>
                <w:lang w:val="en-US"/>
              </w:rPr>
              <w:t>Investor</w:t>
            </w:r>
            <w:r w:rsidRPr="002E7BE4">
              <w:rPr>
                <w:rFonts w:ascii="ArialMT" w:hAnsi="ArialMT"/>
              </w:rPr>
              <w:t xml:space="preserve"> shall notify water usage forecast of the first five years after start of operations.</w:t>
            </w:r>
          </w:p>
        </w:tc>
      </w:tr>
      <w:tr w:rsidR="00A74034" w:rsidRPr="002E7BE4" w14:paraId="3545228A" w14:textId="77777777" w:rsidTr="00936E4F">
        <w:trPr>
          <w:trHeight w:val="680"/>
        </w:trPr>
        <w:tc>
          <w:tcPr>
            <w:tcW w:w="704" w:type="dxa"/>
            <w:vMerge/>
            <w:tcBorders>
              <w:top w:val="nil"/>
              <w:left w:val="single" w:sz="4" w:space="0" w:color="E7E6E6" w:themeColor="background2"/>
              <w:bottom w:val="nil"/>
              <w:right w:val="single" w:sz="8" w:space="0" w:color="000000" w:themeColor="text1"/>
            </w:tcBorders>
            <w:vAlign w:val="center"/>
          </w:tcPr>
          <w:p w14:paraId="1C0CC533" w14:textId="77777777" w:rsidR="00A74034" w:rsidRPr="002E7BE4" w:rsidRDefault="00A74034" w:rsidP="00936E4F">
            <w:pPr>
              <w:jc w:val="center"/>
              <w:rPr>
                <w:rFonts w:ascii="Arial" w:hAnsi="Arial" w:cs="Arial"/>
                <w:lang w:val="en-US"/>
              </w:rPr>
            </w:pPr>
          </w:p>
        </w:tc>
        <w:tc>
          <w:tcPr>
            <w:tcW w:w="511" w:type="dxa"/>
            <w:vMerge/>
            <w:tcBorders>
              <w:left w:val="single" w:sz="8" w:space="0" w:color="000000" w:themeColor="text1"/>
              <w:bottom w:val="single" w:sz="8" w:space="0" w:color="000000" w:themeColor="text1"/>
              <w:right w:val="single" w:sz="8" w:space="0" w:color="000000" w:themeColor="text1"/>
            </w:tcBorders>
          </w:tcPr>
          <w:p w14:paraId="30F60746" w14:textId="77777777" w:rsidR="00A74034" w:rsidRPr="002E7BE4" w:rsidRDefault="00A74034" w:rsidP="00936E4F">
            <w:pPr>
              <w:spacing w:before="80"/>
              <w:jc w:val="center"/>
              <w:rPr>
                <w:rFonts w:ascii="Arial" w:hAnsi="Arial" w:cs="Arial"/>
                <w:lang w:val="en-US"/>
              </w:rPr>
            </w:pPr>
          </w:p>
        </w:tc>
        <w:tc>
          <w:tcPr>
            <w:tcW w:w="446" w:type="dxa"/>
            <w:tcBorders>
              <w:top w:val="single" w:sz="4" w:space="0" w:color="E7E6E6" w:themeColor="background2"/>
              <w:left w:val="single" w:sz="8" w:space="0" w:color="000000" w:themeColor="text1"/>
              <w:bottom w:val="single" w:sz="8" w:space="0" w:color="000000" w:themeColor="text1"/>
              <w:right w:val="single" w:sz="4" w:space="0" w:color="E7E6E6" w:themeColor="background2"/>
            </w:tcBorders>
          </w:tcPr>
          <w:p w14:paraId="6981E8C9" w14:textId="77777777" w:rsidR="00A74034" w:rsidRPr="002E7BE4" w:rsidRDefault="00A74034" w:rsidP="00936E4F">
            <w:pPr>
              <w:jc w:val="center"/>
              <w:rPr>
                <w:rFonts w:ascii="Arial" w:hAnsi="Arial" w:cs="Arial"/>
                <w:lang w:val="en-US"/>
              </w:rPr>
            </w:pPr>
            <w:r>
              <w:rPr>
                <w:rFonts w:ascii="Arial" w:hAnsi="Arial" w:cs="Arial"/>
                <w:lang w:val="en-US"/>
              </w:rPr>
              <w:t>3</w:t>
            </w:r>
          </w:p>
        </w:tc>
        <w:tc>
          <w:tcPr>
            <w:tcW w:w="6272" w:type="dxa"/>
            <w:gridSpan w:val="3"/>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37CC577D" w14:textId="77777777" w:rsidR="00A74034" w:rsidRPr="002E7BE4" w:rsidRDefault="00A74034" w:rsidP="00936E4F">
            <w:pPr>
              <w:jc w:val="both"/>
              <w:rPr>
                <w:rFonts w:ascii="Arial" w:hAnsi="Arial" w:cs="Arial"/>
                <w:lang w:val="en-US"/>
              </w:rPr>
            </w:pPr>
            <w:r w:rsidRPr="002E7BE4">
              <w:rPr>
                <w:rFonts w:ascii="ArialMT" w:hAnsi="ArialMT"/>
              </w:rPr>
              <w:t xml:space="preserve">For each year, the </w:t>
            </w:r>
            <w:r w:rsidRPr="002E7BE4">
              <w:rPr>
                <w:rFonts w:ascii="ArialMT" w:hAnsi="ArialMT"/>
                <w:lang w:val="en-US"/>
              </w:rPr>
              <w:t>investor</w:t>
            </w:r>
            <w:r w:rsidRPr="002E7BE4">
              <w:rPr>
                <w:rFonts w:ascii="ArialMT" w:hAnsi="ArialMT"/>
              </w:rPr>
              <w:t xml:space="preserve"> shall notify water usage forecast for next two fiscal years before end of September of each year. </w:t>
            </w:r>
          </w:p>
        </w:tc>
      </w:tr>
      <w:tr w:rsidR="00A74034" w:rsidRPr="002E7BE4" w14:paraId="576BD7BE" w14:textId="77777777" w:rsidTr="00936E4F">
        <w:trPr>
          <w:trHeight w:val="454"/>
        </w:trPr>
        <w:tc>
          <w:tcPr>
            <w:tcW w:w="704" w:type="dxa"/>
            <w:vMerge/>
            <w:tcBorders>
              <w:top w:val="nil"/>
              <w:left w:val="single" w:sz="4" w:space="0" w:color="E7E6E6" w:themeColor="background2"/>
              <w:bottom w:val="single" w:sz="4" w:space="0" w:color="E7E6E6" w:themeColor="background2"/>
              <w:right w:val="single" w:sz="8" w:space="0" w:color="000000" w:themeColor="text1"/>
            </w:tcBorders>
            <w:vAlign w:val="center"/>
          </w:tcPr>
          <w:p w14:paraId="384AD097" w14:textId="77777777" w:rsidR="00A74034" w:rsidRPr="002E7BE4" w:rsidRDefault="00A74034" w:rsidP="00936E4F">
            <w:pPr>
              <w:jc w:val="center"/>
              <w:rPr>
                <w:rFonts w:ascii="Arial" w:hAnsi="Arial" w:cs="Arial"/>
                <w:lang w:val="en-US"/>
              </w:rPr>
            </w:pPr>
          </w:p>
        </w:tc>
        <w:tc>
          <w:tcPr>
            <w:tcW w:w="7229" w:type="dxa"/>
            <w:gridSpan w:val="5"/>
            <w:tcBorders>
              <w:top w:val="single" w:sz="8" w:space="0" w:color="000000" w:themeColor="text1"/>
              <w:left w:val="single" w:sz="8" w:space="0" w:color="000000" w:themeColor="text1"/>
              <w:bottom w:val="single" w:sz="4" w:space="0" w:color="000000" w:themeColor="text1"/>
              <w:right w:val="single" w:sz="4" w:space="0" w:color="E7E6E6" w:themeColor="background2"/>
            </w:tcBorders>
            <w:vAlign w:val="center"/>
          </w:tcPr>
          <w:p w14:paraId="2930FD22" w14:textId="77777777" w:rsidR="00A74034" w:rsidRPr="002E7BE4" w:rsidRDefault="00A74034" w:rsidP="00936E4F">
            <w:pPr>
              <w:rPr>
                <w:rFonts w:ascii="ArialMT" w:hAnsi="ArialMT"/>
                <w:lang w:val="en-US"/>
              </w:rPr>
            </w:pPr>
            <w:r w:rsidRPr="002E7BE4">
              <w:rPr>
                <w:rFonts w:ascii="ArialMT" w:hAnsi="ArialMT"/>
                <w:b/>
                <w:bCs/>
                <w:lang w:val="en-US"/>
              </w:rPr>
              <w:t>Water supply capacity</w:t>
            </w:r>
            <w:r w:rsidRPr="002E7BE4">
              <w:rPr>
                <w:rFonts w:ascii="ArialMT" w:hAnsi="ArialMT"/>
                <w:lang w:val="en-US"/>
              </w:rPr>
              <w:t>:</w:t>
            </w:r>
          </w:p>
        </w:tc>
      </w:tr>
      <w:tr w:rsidR="00A74034" w:rsidRPr="002E7BE4" w14:paraId="6B1BD7AB"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F407E6C" w14:textId="77777777" w:rsidR="00A74034" w:rsidRPr="002E7BE4" w:rsidRDefault="00A74034" w:rsidP="00936E4F">
            <w:pPr>
              <w:jc w:val="center"/>
              <w:rPr>
                <w:rFonts w:ascii="Arial" w:hAnsi="Arial" w:cs="Arial"/>
                <w:lang w:val="en-US"/>
              </w:rPr>
            </w:pPr>
          </w:p>
        </w:tc>
        <w:tc>
          <w:tcPr>
            <w:tcW w:w="1594" w:type="dxa"/>
            <w:gridSpan w:val="3"/>
            <w:tcBorders>
              <w:top w:val="single" w:sz="4" w:space="0" w:color="000000" w:themeColor="text1"/>
              <w:left w:val="single" w:sz="8" w:space="0" w:color="000000" w:themeColor="text1"/>
              <w:bottom w:val="single" w:sz="4" w:space="0" w:color="E7E6E6" w:themeColor="background2"/>
              <w:right w:val="single" w:sz="4" w:space="0" w:color="000000" w:themeColor="text1"/>
            </w:tcBorders>
            <w:vAlign w:val="center"/>
          </w:tcPr>
          <w:p w14:paraId="483ECC60" w14:textId="77777777" w:rsidR="00A74034" w:rsidRPr="002E7BE4" w:rsidRDefault="00A74034" w:rsidP="00936E4F">
            <w:pPr>
              <w:rPr>
                <w:rFonts w:ascii="ArialMT" w:hAnsi="ArialMT"/>
                <w:lang w:val="en-US"/>
              </w:rPr>
            </w:pPr>
            <w:r w:rsidRPr="002E7BE4">
              <w:rPr>
                <w:rFonts w:ascii="ArialMT" w:hAnsi="ArialMT"/>
                <w:lang w:val="en-US"/>
              </w:rPr>
              <w:t>Current:</w:t>
            </w:r>
          </w:p>
        </w:tc>
        <w:tc>
          <w:tcPr>
            <w:tcW w:w="5635" w:type="dxa"/>
            <w:gridSpan w:val="2"/>
            <w:tcBorders>
              <w:top w:val="single" w:sz="4" w:space="0" w:color="000000" w:themeColor="text1"/>
              <w:left w:val="single" w:sz="4" w:space="0" w:color="000000" w:themeColor="text1"/>
              <w:bottom w:val="single" w:sz="4" w:space="0" w:color="E7E6E6" w:themeColor="background2"/>
              <w:right w:val="single" w:sz="4" w:space="0" w:color="E7E6E6" w:themeColor="background2"/>
            </w:tcBorders>
            <w:vAlign w:val="center"/>
          </w:tcPr>
          <w:p w14:paraId="2C33623B" w14:textId="77777777" w:rsidR="00A74034" w:rsidRPr="002E7BE4" w:rsidRDefault="00A74034" w:rsidP="00936E4F">
            <w:pPr>
              <w:rPr>
                <w:rFonts w:ascii="Arial" w:hAnsi="Arial" w:cs="Arial"/>
              </w:rPr>
            </w:pPr>
            <w:r w:rsidRPr="002E7BE4">
              <w:rPr>
                <w:rFonts w:ascii="Arial" w:hAnsi="Arial" w:cs="Arial"/>
              </w:rPr>
              <w:t>20 cu-m/day per 10,000 square</w:t>
            </w:r>
            <w:r w:rsidRPr="002E7BE4">
              <w:rPr>
                <w:rFonts w:ascii="Arial" w:hAnsi="Arial" w:cs="Arial"/>
                <w:lang w:val="en-US"/>
              </w:rPr>
              <w:t>-</w:t>
            </w:r>
            <w:r w:rsidRPr="002E7BE4">
              <w:rPr>
                <w:rFonts w:ascii="Arial" w:hAnsi="Arial" w:cs="Arial"/>
              </w:rPr>
              <w:t>meter</w:t>
            </w:r>
            <w:r w:rsidRPr="002E7BE4">
              <w:rPr>
                <w:rFonts w:ascii="Arial" w:hAnsi="Arial" w:cs="Arial"/>
                <w:lang w:val="en-US"/>
              </w:rPr>
              <w:t>s</w:t>
            </w:r>
            <w:r w:rsidRPr="002E7BE4">
              <w:rPr>
                <w:rFonts w:ascii="Arial" w:hAnsi="Arial" w:cs="Arial"/>
              </w:rPr>
              <w:t xml:space="preserve"> </w:t>
            </w:r>
          </w:p>
          <w:p w14:paraId="4A4C45BA" w14:textId="77777777" w:rsidR="00A74034" w:rsidRPr="002E7BE4" w:rsidRDefault="00A74034" w:rsidP="00936E4F">
            <w:pPr>
              <w:rPr>
                <w:rFonts w:ascii="ArialMT" w:hAnsi="ArialMT"/>
                <w:lang w:val="en-US"/>
              </w:rPr>
            </w:pPr>
            <w:r w:rsidRPr="002E7BE4">
              <w:rPr>
                <w:rFonts w:ascii="Arial" w:hAnsi="Arial" w:cs="Arial"/>
              </w:rPr>
              <w:t xml:space="preserve">(6,000 cu-m/day for entire </w:t>
            </w:r>
            <w:r w:rsidRPr="002E7BE4">
              <w:rPr>
                <w:rFonts w:ascii="Arial" w:hAnsi="Arial" w:cs="Arial"/>
                <w:lang w:val="en-US"/>
              </w:rPr>
              <w:t>KMIC Industrial Zone)</w:t>
            </w:r>
          </w:p>
        </w:tc>
      </w:tr>
      <w:tr w:rsidR="00A74034" w:rsidRPr="002E7BE4" w14:paraId="3D1A06DB" w14:textId="77777777" w:rsidTr="00936E4F">
        <w:trPr>
          <w:trHeight w:val="680"/>
        </w:trPr>
        <w:tc>
          <w:tcPr>
            <w:tcW w:w="704" w:type="dxa"/>
            <w:tcBorders>
              <w:top w:val="single" w:sz="4" w:space="0" w:color="E7E6E6" w:themeColor="background2"/>
              <w:left w:val="single" w:sz="4" w:space="0" w:color="E7E6E6" w:themeColor="background2"/>
              <w:bottom w:val="single" w:sz="8" w:space="0" w:color="000000" w:themeColor="text1"/>
              <w:right w:val="single" w:sz="8" w:space="0" w:color="000000" w:themeColor="text1"/>
            </w:tcBorders>
            <w:vAlign w:val="center"/>
          </w:tcPr>
          <w:p w14:paraId="262DB8ED" w14:textId="77777777" w:rsidR="00A74034" w:rsidRPr="002E7BE4" w:rsidRDefault="00A74034" w:rsidP="00936E4F">
            <w:pPr>
              <w:jc w:val="center"/>
              <w:rPr>
                <w:rFonts w:ascii="Arial" w:hAnsi="Arial" w:cs="Arial"/>
                <w:lang w:val="en-US"/>
              </w:rPr>
            </w:pPr>
          </w:p>
        </w:tc>
        <w:tc>
          <w:tcPr>
            <w:tcW w:w="1594"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431C350A" w14:textId="77777777" w:rsidR="00A74034" w:rsidRPr="002E7BE4" w:rsidRDefault="00A74034" w:rsidP="00936E4F">
            <w:pPr>
              <w:rPr>
                <w:rFonts w:ascii="ArialMT" w:hAnsi="ArialMT"/>
                <w:lang w:val="en-US"/>
              </w:rPr>
            </w:pPr>
            <w:r w:rsidRPr="002E7BE4">
              <w:rPr>
                <w:rFonts w:ascii="ArialMT" w:hAnsi="ArialMT"/>
                <w:lang w:val="en-US"/>
              </w:rPr>
              <w:t>Additional:</w:t>
            </w:r>
          </w:p>
        </w:tc>
        <w:tc>
          <w:tcPr>
            <w:tcW w:w="5635" w:type="dxa"/>
            <w:gridSpan w:val="2"/>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2C2B8B6A" w14:textId="77777777" w:rsidR="00A74034" w:rsidRPr="002E7BE4" w:rsidRDefault="00A74034" w:rsidP="00936E4F">
            <w:pPr>
              <w:rPr>
                <w:rFonts w:ascii="Arial" w:hAnsi="Arial" w:cs="Arial"/>
                <w:lang w:val="en-US"/>
              </w:rPr>
            </w:pPr>
            <w:r w:rsidRPr="002E7BE4">
              <w:rPr>
                <w:rFonts w:ascii="Arial" w:hAnsi="Arial" w:cs="Arial"/>
              </w:rPr>
              <w:t xml:space="preserve">42,000 cu-m/day for entire </w:t>
            </w:r>
            <w:r w:rsidRPr="002E7BE4">
              <w:rPr>
                <w:rFonts w:ascii="Arial" w:hAnsi="Arial" w:cs="Arial"/>
                <w:lang w:val="en-US"/>
              </w:rPr>
              <w:t xml:space="preserve">Industrial Zone </w:t>
            </w:r>
          </w:p>
          <w:p w14:paraId="1D901FA0" w14:textId="77777777" w:rsidR="00A74034" w:rsidRPr="002E7BE4" w:rsidRDefault="00A74034" w:rsidP="00936E4F">
            <w:pPr>
              <w:rPr>
                <w:rFonts w:ascii="ArialMT" w:hAnsi="ArialMT"/>
                <w:lang w:val="en-US"/>
              </w:rPr>
            </w:pPr>
            <w:r w:rsidRPr="002E7BE4">
              <w:rPr>
                <w:rFonts w:ascii="Arial" w:hAnsi="Arial" w:cs="Arial"/>
                <w:lang w:val="en-US"/>
              </w:rPr>
              <w:t>(On</w:t>
            </w:r>
            <w:r w:rsidRPr="002E7BE4">
              <w:rPr>
                <w:rFonts w:ascii="Arial" w:hAnsi="Arial" w:cs="Arial"/>
              </w:rPr>
              <w:t xml:space="preserve"> completion of water pipeline</w:t>
            </w:r>
            <w:r w:rsidRPr="002E7BE4">
              <w:rPr>
                <w:rFonts w:ascii="Arial" w:hAnsi="Arial" w:cs="Arial"/>
                <w:lang w:val="en-US"/>
              </w:rPr>
              <w:t>)</w:t>
            </w:r>
          </w:p>
        </w:tc>
      </w:tr>
    </w:tbl>
    <w:p w14:paraId="2A85CF36" w14:textId="77777777" w:rsidR="00A74034" w:rsidRPr="002E7BE4" w:rsidRDefault="00A74034" w:rsidP="00A74034">
      <w:pPr>
        <w:rPr>
          <w:rFonts w:ascii="Arial" w:hAnsi="Arial" w:cs="Arial"/>
          <w:sz w:val="11"/>
          <w:szCs w:val="11"/>
        </w:rPr>
      </w:pPr>
    </w:p>
    <w:tbl>
      <w:tblPr>
        <w:tblStyle w:val="a3"/>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5"/>
        <w:gridCol w:w="3352"/>
        <w:gridCol w:w="3352"/>
      </w:tblGrid>
      <w:tr w:rsidR="00A74034" w:rsidRPr="002E7BE4" w14:paraId="1C606ACA" w14:textId="77777777" w:rsidTr="00936E4F">
        <w:trPr>
          <w:trHeight w:val="454"/>
        </w:trPr>
        <w:tc>
          <w:tcPr>
            <w:tcW w:w="704" w:type="dxa"/>
            <w:vMerge w:val="restart"/>
            <w:tcBorders>
              <w:top w:val="single" w:sz="8" w:space="0" w:color="000000" w:themeColor="text1"/>
              <w:left w:val="single" w:sz="4" w:space="0" w:color="E7E6E6" w:themeColor="background2"/>
              <w:right w:val="single" w:sz="8" w:space="0" w:color="000000" w:themeColor="text1"/>
            </w:tcBorders>
            <w:vAlign w:val="center"/>
          </w:tcPr>
          <w:p w14:paraId="6A6B0150" w14:textId="77777777" w:rsidR="00A74034" w:rsidRPr="002E7BE4" w:rsidRDefault="00A74034" w:rsidP="00936E4F">
            <w:pPr>
              <w:jc w:val="center"/>
              <w:rPr>
                <w:rFonts w:ascii="Arial" w:hAnsi="Arial" w:cs="Arial"/>
                <w:lang w:val="en-US"/>
              </w:rPr>
            </w:pPr>
          </w:p>
        </w:tc>
        <w:tc>
          <w:tcPr>
            <w:tcW w:w="525"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vAlign w:val="center"/>
          </w:tcPr>
          <w:p w14:paraId="261E4AD5" w14:textId="77777777" w:rsidR="00A74034" w:rsidRPr="002E7BE4" w:rsidRDefault="00A74034" w:rsidP="00936E4F">
            <w:pPr>
              <w:jc w:val="center"/>
              <w:rPr>
                <w:rFonts w:ascii="Arial" w:hAnsi="Arial" w:cs="Arial"/>
                <w:lang w:val="en-US"/>
              </w:rPr>
            </w:pPr>
            <w:r w:rsidRPr="002E7BE4">
              <w:rPr>
                <w:rFonts w:ascii="Arial" w:hAnsi="Arial" w:cs="Arial"/>
                <w:lang w:val="en-US"/>
              </w:rPr>
              <w:t>b</w:t>
            </w:r>
          </w:p>
        </w:tc>
        <w:tc>
          <w:tcPr>
            <w:tcW w:w="6704" w:type="dxa"/>
            <w:gridSpan w:val="2"/>
            <w:tcBorders>
              <w:top w:val="single" w:sz="8" w:space="0" w:color="000000" w:themeColor="text1"/>
              <w:left w:val="single" w:sz="8" w:space="0" w:color="000000" w:themeColor="text1"/>
              <w:bottom w:val="single" w:sz="4" w:space="0" w:color="E7E6E6" w:themeColor="background2"/>
            </w:tcBorders>
            <w:vAlign w:val="center"/>
          </w:tcPr>
          <w:p w14:paraId="73298F03" w14:textId="77777777" w:rsidR="00A74034" w:rsidRPr="002E7BE4" w:rsidRDefault="00A74034" w:rsidP="00936E4F">
            <w:pPr>
              <w:ind w:left="355"/>
              <w:rPr>
                <w:rFonts w:ascii="Arial" w:hAnsi="Arial" w:cs="Arial"/>
                <w:lang w:val="en-US"/>
              </w:rPr>
            </w:pPr>
            <w:r w:rsidRPr="002E7BE4">
              <w:rPr>
                <w:rFonts w:ascii="Arial" w:hAnsi="Arial" w:cs="Arial"/>
                <w:lang w:val="en-US"/>
              </w:rPr>
              <w:t>Water usage charge</w:t>
            </w:r>
          </w:p>
        </w:tc>
      </w:tr>
      <w:tr w:rsidR="00A74034" w:rsidRPr="002E7BE4" w14:paraId="4E9441BE" w14:textId="77777777" w:rsidTr="00936E4F">
        <w:trPr>
          <w:trHeight w:val="510"/>
        </w:trPr>
        <w:tc>
          <w:tcPr>
            <w:tcW w:w="704" w:type="dxa"/>
            <w:vMerge/>
            <w:tcBorders>
              <w:left w:val="single" w:sz="4" w:space="0" w:color="E7E6E6" w:themeColor="background2"/>
              <w:right w:val="single" w:sz="8" w:space="0" w:color="000000" w:themeColor="text1"/>
            </w:tcBorders>
            <w:vAlign w:val="center"/>
          </w:tcPr>
          <w:p w14:paraId="39ED953C" w14:textId="77777777" w:rsidR="00A74034" w:rsidRPr="002E7BE4" w:rsidRDefault="00A74034" w:rsidP="00936E4F">
            <w:pPr>
              <w:jc w:val="center"/>
              <w:rPr>
                <w:rFonts w:ascii="Arial" w:hAnsi="Arial" w:cs="Arial"/>
                <w:lang w:val="en-US"/>
              </w:rPr>
            </w:pPr>
          </w:p>
        </w:tc>
        <w:tc>
          <w:tcPr>
            <w:tcW w:w="525" w:type="dxa"/>
            <w:vMerge w:val="restart"/>
            <w:tcBorders>
              <w:top w:val="single" w:sz="4" w:space="0" w:color="E7E6E6" w:themeColor="background2"/>
              <w:left w:val="single" w:sz="8" w:space="0" w:color="000000" w:themeColor="text1"/>
              <w:right w:val="single" w:sz="8" w:space="0" w:color="000000" w:themeColor="text1"/>
            </w:tcBorders>
            <w:vAlign w:val="center"/>
          </w:tcPr>
          <w:p w14:paraId="6A82EE12" w14:textId="77777777" w:rsidR="00A74034" w:rsidRPr="002E7BE4" w:rsidRDefault="00A74034" w:rsidP="00936E4F">
            <w:pPr>
              <w:rPr>
                <w:rFonts w:ascii="ArialMT" w:hAnsi="ArialMT"/>
                <w:lang w:val="en-US"/>
              </w:rPr>
            </w:pPr>
          </w:p>
        </w:tc>
        <w:tc>
          <w:tcPr>
            <w:tcW w:w="3352" w:type="dxa"/>
            <w:tcBorders>
              <w:top w:val="single" w:sz="4" w:space="0" w:color="E7E6E6" w:themeColor="background2"/>
              <w:left w:val="single" w:sz="8" w:space="0" w:color="000000" w:themeColor="text1"/>
              <w:bottom w:val="single" w:sz="4" w:space="0" w:color="000000" w:themeColor="text1"/>
              <w:right w:val="single" w:sz="4" w:space="0" w:color="000000" w:themeColor="text1"/>
            </w:tcBorders>
            <w:vAlign w:val="center"/>
          </w:tcPr>
          <w:p w14:paraId="3BF4091F" w14:textId="77777777" w:rsidR="00A74034" w:rsidRPr="002E7BE4" w:rsidRDefault="00A74034" w:rsidP="00936E4F">
            <w:pPr>
              <w:jc w:val="center"/>
              <w:rPr>
                <w:rFonts w:ascii="Arial" w:hAnsi="Arial" w:cs="Arial"/>
                <w:sz w:val="22"/>
                <w:szCs w:val="22"/>
              </w:rPr>
            </w:pPr>
            <w:r w:rsidRPr="002E7BE4">
              <w:rPr>
                <w:rFonts w:ascii="Arial" w:hAnsi="Arial" w:cs="Arial"/>
                <w:b/>
                <w:bCs/>
                <w:sz w:val="22"/>
                <w:szCs w:val="22"/>
              </w:rPr>
              <w:t>Actual water consumption (cu-m/ha/24 hours)</w:t>
            </w:r>
          </w:p>
        </w:tc>
        <w:tc>
          <w:tcPr>
            <w:tcW w:w="3352" w:type="dxa"/>
            <w:tcBorders>
              <w:top w:val="single" w:sz="4" w:space="0" w:color="E7E6E6" w:themeColor="background2"/>
              <w:left w:val="single" w:sz="4" w:space="0" w:color="000000" w:themeColor="text1"/>
              <w:bottom w:val="single" w:sz="4" w:space="0" w:color="000000" w:themeColor="text1"/>
            </w:tcBorders>
            <w:vAlign w:val="center"/>
          </w:tcPr>
          <w:p w14:paraId="1C0EC946" w14:textId="77777777" w:rsidR="00A74034" w:rsidRPr="002E7BE4" w:rsidRDefault="00A74034" w:rsidP="00936E4F">
            <w:pPr>
              <w:pStyle w:val="a4"/>
              <w:spacing w:before="0" w:beforeAutospacing="0" w:after="0" w:afterAutospacing="0"/>
              <w:jc w:val="center"/>
              <w:rPr>
                <w:rFonts w:ascii="Arial" w:hAnsi="Arial" w:cs="Arial"/>
                <w:b/>
                <w:bCs/>
                <w:sz w:val="22"/>
                <w:szCs w:val="22"/>
              </w:rPr>
            </w:pPr>
            <w:r w:rsidRPr="002E7BE4">
              <w:rPr>
                <w:rFonts w:ascii="Arial" w:hAnsi="Arial" w:cs="Arial"/>
                <w:b/>
                <w:bCs/>
                <w:sz w:val="22"/>
                <w:szCs w:val="22"/>
              </w:rPr>
              <w:t>Charge (</w:t>
            </w:r>
            <w:r w:rsidRPr="002E7BE4">
              <w:rPr>
                <w:rFonts w:ascii="Arial" w:hAnsi="Arial" w:cs="Arial"/>
                <w:b/>
                <w:bCs/>
                <w:sz w:val="22"/>
                <w:szCs w:val="22"/>
                <w:lang w:val="en-US"/>
              </w:rPr>
              <w:t>N</w:t>
            </w:r>
            <w:r w:rsidRPr="002E7BE4">
              <w:rPr>
                <w:rFonts w:ascii="Arial" w:hAnsi="Arial" w:cs="Arial"/>
                <w:b/>
                <w:bCs/>
                <w:sz w:val="22"/>
                <w:szCs w:val="22"/>
              </w:rPr>
              <w:t>et of any tax)</w:t>
            </w:r>
          </w:p>
          <w:p w14:paraId="7E4C4231" w14:textId="77777777" w:rsidR="00A74034" w:rsidRPr="002E7BE4" w:rsidRDefault="00A74034" w:rsidP="00936E4F">
            <w:pPr>
              <w:jc w:val="center"/>
              <w:rPr>
                <w:rFonts w:ascii="Arial" w:hAnsi="Arial" w:cs="Arial"/>
                <w:sz w:val="22"/>
                <w:szCs w:val="22"/>
              </w:rPr>
            </w:pPr>
            <w:r w:rsidRPr="002E7BE4">
              <w:rPr>
                <w:rFonts w:ascii="Arial" w:hAnsi="Arial" w:cs="Arial"/>
                <w:b/>
                <w:bCs/>
                <w:sz w:val="22"/>
                <w:szCs w:val="22"/>
              </w:rPr>
              <w:t>(In USD)</w:t>
            </w:r>
          </w:p>
        </w:tc>
      </w:tr>
      <w:tr w:rsidR="00A74034" w:rsidRPr="002E7BE4" w14:paraId="352593F9" w14:textId="77777777" w:rsidTr="00936E4F">
        <w:trPr>
          <w:trHeight w:val="340"/>
        </w:trPr>
        <w:tc>
          <w:tcPr>
            <w:tcW w:w="704" w:type="dxa"/>
            <w:vMerge/>
            <w:tcBorders>
              <w:left w:val="single" w:sz="4" w:space="0" w:color="E7E6E6" w:themeColor="background2"/>
              <w:right w:val="single" w:sz="8" w:space="0" w:color="000000" w:themeColor="text1"/>
            </w:tcBorders>
            <w:vAlign w:val="center"/>
          </w:tcPr>
          <w:p w14:paraId="28AAFE40" w14:textId="77777777" w:rsidR="00A74034" w:rsidRPr="002E7BE4" w:rsidRDefault="00A74034" w:rsidP="00936E4F">
            <w:pPr>
              <w:jc w:val="center"/>
              <w:rPr>
                <w:rFonts w:ascii="Arial" w:hAnsi="Arial" w:cs="Arial"/>
                <w:lang w:val="en-US"/>
              </w:rPr>
            </w:pPr>
          </w:p>
        </w:tc>
        <w:tc>
          <w:tcPr>
            <w:tcW w:w="525" w:type="dxa"/>
            <w:vMerge/>
            <w:tcBorders>
              <w:left w:val="single" w:sz="8" w:space="0" w:color="000000" w:themeColor="text1"/>
              <w:right w:val="single" w:sz="8" w:space="0" w:color="000000" w:themeColor="text1"/>
            </w:tcBorders>
            <w:vAlign w:val="center"/>
          </w:tcPr>
          <w:p w14:paraId="42E8AA20" w14:textId="77777777" w:rsidR="00A74034" w:rsidRPr="002E7BE4" w:rsidRDefault="00A74034" w:rsidP="00936E4F">
            <w:pPr>
              <w:jc w:val="center"/>
              <w:rPr>
                <w:rFonts w:ascii="ArialMT" w:hAnsi="ArialMT"/>
                <w:lang w:val="en-US"/>
              </w:rPr>
            </w:pPr>
          </w:p>
        </w:tc>
        <w:tc>
          <w:tcPr>
            <w:tcW w:w="3352"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72D37566" w14:textId="77777777" w:rsidR="00A74034" w:rsidRPr="002E7BE4" w:rsidRDefault="00A74034" w:rsidP="00936E4F">
            <w:pPr>
              <w:ind w:right="938"/>
              <w:jc w:val="right"/>
              <w:rPr>
                <w:rFonts w:ascii="Arial" w:hAnsi="Arial" w:cs="Arial"/>
              </w:rPr>
            </w:pPr>
            <w:r w:rsidRPr="002E7BE4">
              <w:rPr>
                <w:rFonts w:ascii="Arial" w:hAnsi="Arial" w:cs="Arial"/>
                <w:lang w:val="en-US"/>
              </w:rPr>
              <w:t>0 – 60</w:t>
            </w:r>
          </w:p>
        </w:tc>
        <w:tc>
          <w:tcPr>
            <w:tcW w:w="3352" w:type="dxa"/>
            <w:tcBorders>
              <w:top w:val="single" w:sz="4" w:space="0" w:color="000000" w:themeColor="text1"/>
              <w:left w:val="single" w:sz="4" w:space="0" w:color="000000" w:themeColor="text1"/>
              <w:bottom w:val="single" w:sz="4" w:space="0" w:color="000000" w:themeColor="text1"/>
            </w:tcBorders>
            <w:vAlign w:val="center"/>
          </w:tcPr>
          <w:p w14:paraId="354BB9D9" w14:textId="77777777" w:rsidR="00A74034" w:rsidRPr="002E7BE4" w:rsidRDefault="00A74034" w:rsidP="00936E4F">
            <w:pPr>
              <w:ind w:right="1021"/>
              <w:jc w:val="right"/>
              <w:rPr>
                <w:rFonts w:ascii="Arial" w:hAnsi="Arial" w:cs="Arial"/>
              </w:rPr>
            </w:pPr>
            <w:r w:rsidRPr="002E7BE4">
              <w:rPr>
                <w:rFonts w:ascii="ArialMT" w:hAnsi="ArialMT"/>
                <w:lang w:val="en-US"/>
              </w:rPr>
              <w:t>0.60 per cu-m</w:t>
            </w:r>
          </w:p>
        </w:tc>
      </w:tr>
      <w:tr w:rsidR="00A74034" w:rsidRPr="002E7BE4" w14:paraId="445F70C1" w14:textId="77777777" w:rsidTr="00936E4F">
        <w:trPr>
          <w:trHeight w:val="340"/>
        </w:trPr>
        <w:tc>
          <w:tcPr>
            <w:tcW w:w="704" w:type="dxa"/>
            <w:vMerge/>
            <w:tcBorders>
              <w:left w:val="single" w:sz="4" w:space="0" w:color="E7E6E6" w:themeColor="background2"/>
              <w:right w:val="single" w:sz="8" w:space="0" w:color="000000" w:themeColor="text1"/>
            </w:tcBorders>
            <w:vAlign w:val="center"/>
          </w:tcPr>
          <w:p w14:paraId="7DAA7EA3" w14:textId="77777777" w:rsidR="00A74034" w:rsidRPr="002E7BE4" w:rsidRDefault="00A74034" w:rsidP="00936E4F">
            <w:pPr>
              <w:jc w:val="center"/>
              <w:rPr>
                <w:rFonts w:ascii="Arial" w:hAnsi="Arial" w:cs="Arial"/>
                <w:lang w:val="en-US"/>
              </w:rPr>
            </w:pPr>
          </w:p>
        </w:tc>
        <w:tc>
          <w:tcPr>
            <w:tcW w:w="525" w:type="dxa"/>
            <w:vMerge/>
            <w:tcBorders>
              <w:left w:val="single" w:sz="8" w:space="0" w:color="000000" w:themeColor="text1"/>
              <w:right w:val="single" w:sz="8" w:space="0" w:color="000000" w:themeColor="text1"/>
            </w:tcBorders>
            <w:vAlign w:val="center"/>
          </w:tcPr>
          <w:p w14:paraId="10C9227D" w14:textId="77777777" w:rsidR="00A74034" w:rsidRPr="002E7BE4" w:rsidRDefault="00A74034" w:rsidP="00936E4F">
            <w:pPr>
              <w:jc w:val="center"/>
              <w:rPr>
                <w:rFonts w:ascii="ArialMT" w:hAnsi="ArialMT"/>
                <w:lang w:val="en-US"/>
              </w:rPr>
            </w:pPr>
          </w:p>
        </w:tc>
        <w:tc>
          <w:tcPr>
            <w:tcW w:w="3352"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0F3CBED9" w14:textId="77777777" w:rsidR="00A74034" w:rsidRPr="002E7BE4" w:rsidRDefault="00A74034" w:rsidP="00936E4F">
            <w:pPr>
              <w:ind w:right="938"/>
              <w:jc w:val="right"/>
              <w:rPr>
                <w:rFonts w:ascii="Arial" w:hAnsi="Arial" w:cs="Arial"/>
              </w:rPr>
            </w:pPr>
            <w:r w:rsidRPr="002E7BE4">
              <w:rPr>
                <w:rFonts w:ascii="Arial" w:hAnsi="Arial" w:cs="Arial"/>
                <w:lang w:val="en-US"/>
              </w:rPr>
              <w:t>&gt; 60 – 120</w:t>
            </w:r>
          </w:p>
        </w:tc>
        <w:tc>
          <w:tcPr>
            <w:tcW w:w="3352" w:type="dxa"/>
            <w:tcBorders>
              <w:top w:val="single" w:sz="4" w:space="0" w:color="000000" w:themeColor="text1"/>
              <w:left w:val="single" w:sz="4" w:space="0" w:color="000000" w:themeColor="text1"/>
              <w:bottom w:val="single" w:sz="4" w:space="0" w:color="000000" w:themeColor="text1"/>
            </w:tcBorders>
            <w:vAlign w:val="center"/>
          </w:tcPr>
          <w:p w14:paraId="28724F78" w14:textId="77777777" w:rsidR="00A74034" w:rsidRPr="002E7BE4" w:rsidRDefault="00A74034" w:rsidP="00936E4F">
            <w:pPr>
              <w:ind w:right="1021"/>
              <w:jc w:val="right"/>
              <w:rPr>
                <w:rFonts w:ascii="Arial" w:hAnsi="Arial" w:cs="Arial"/>
              </w:rPr>
            </w:pPr>
            <w:r w:rsidRPr="002E7BE4">
              <w:rPr>
                <w:rFonts w:ascii="ArialMT" w:hAnsi="ArialMT"/>
                <w:lang w:val="en-US"/>
              </w:rPr>
              <w:t>0.70 per cu-m</w:t>
            </w:r>
          </w:p>
        </w:tc>
      </w:tr>
      <w:tr w:rsidR="00A74034" w:rsidRPr="002E7BE4" w14:paraId="5E363154" w14:textId="77777777" w:rsidTr="00936E4F">
        <w:trPr>
          <w:trHeight w:val="340"/>
        </w:trPr>
        <w:tc>
          <w:tcPr>
            <w:tcW w:w="704" w:type="dxa"/>
            <w:vMerge/>
            <w:tcBorders>
              <w:left w:val="single" w:sz="4" w:space="0" w:color="E7E6E6" w:themeColor="background2"/>
              <w:right w:val="single" w:sz="8" w:space="0" w:color="000000" w:themeColor="text1"/>
            </w:tcBorders>
            <w:vAlign w:val="center"/>
          </w:tcPr>
          <w:p w14:paraId="1C7584DE" w14:textId="77777777" w:rsidR="00A74034" w:rsidRPr="002E7BE4" w:rsidRDefault="00A74034" w:rsidP="00936E4F">
            <w:pPr>
              <w:jc w:val="center"/>
              <w:rPr>
                <w:rFonts w:ascii="Arial" w:hAnsi="Arial" w:cs="Arial"/>
                <w:lang w:val="en-US"/>
              </w:rPr>
            </w:pPr>
          </w:p>
        </w:tc>
        <w:tc>
          <w:tcPr>
            <w:tcW w:w="525" w:type="dxa"/>
            <w:vMerge/>
            <w:tcBorders>
              <w:left w:val="single" w:sz="8" w:space="0" w:color="000000" w:themeColor="text1"/>
              <w:right w:val="single" w:sz="8" w:space="0" w:color="000000" w:themeColor="text1"/>
            </w:tcBorders>
            <w:vAlign w:val="center"/>
          </w:tcPr>
          <w:p w14:paraId="6376E993" w14:textId="77777777" w:rsidR="00A74034" w:rsidRPr="002E7BE4" w:rsidRDefault="00A74034" w:rsidP="00936E4F">
            <w:pPr>
              <w:jc w:val="center"/>
              <w:rPr>
                <w:rFonts w:ascii="ArialMT" w:hAnsi="ArialMT"/>
                <w:lang w:val="en-US"/>
              </w:rPr>
            </w:pPr>
          </w:p>
        </w:tc>
        <w:tc>
          <w:tcPr>
            <w:tcW w:w="3352"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63EB9DB1" w14:textId="77777777" w:rsidR="00A74034" w:rsidRPr="002E7BE4" w:rsidRDefault="00A74034" w:rsidP="00936E4F">
            <w:pPr>
              <w:ind w:right="938"/>
              <w:jc w:val="right"/>
              <w:rPr>
                <w:rFonts w:ascii="Arial" w:hAnsi="Arial" w:cs="Arial"/>
              </w:rPr>
            </w:pPr>
            <w:r w:rsidRPr="002E7BE4">
              <w:rPr>
                <w:rFonts w:ascii="Arial" w:hAnsi="Arial" w:cs="Arial"/>
                <w:lang w:val="en-US"/>
              </w:rPr>
              <w:t xml:space="preserve">  &gt; 120 - 180</w:t>
            </w:r>
          </w:p>
        </w:tc>
        <w:tc>
          <w:tcPr>
            <w:tcW w:w="3352" w:type="dxa"/>
            <w:tcBorders>
              <w:top w:val="single" w:sz="4" w:space="0" w:color="000000" w:themeColor="text1"/>
              <w:left w:val="single" w:sz="4" w:space="0" w:color="000000" w:themeColor="text1"/>
              <w:bottom w:val="single" w:sz="4" w:space="0" w:color="000000" w:themeColor="text1"/>
            </w:tcBorders>
            <w:vAlign w:val="center"/>
          </w:tcPr>
          <w:p w14:paraId="610D81B7" w14:textId="77777777" w:rsidR="00A74034" w:rsidRPr="002E7BE4" w:rsidRDefault="00A74034" w:rsidP="00936E4F">
            <w:pPr>
              <w:ind w:right="1021"/>
              <w:jc w:val="right"/>
              <w:rPr>
                <w:rFonts w:ascii="Arial" w:hAnsi="Arial" w:cs="Arial"/>
              </w:rPr>
            </w:pPr>
            <w:r w:rsidRPr="002E7BE4">
              <w:rPr>
                <w:rFonts w:ascii="ArialMT" w:hAnsi="ArialMT"/>
                <w:lang w:val="en-US"/>
              </w:rPr>
              <w:t>0.80 per cu-m</w:t>
            </w:r>
          </w:p>
        </w:tc>
      </w:tr>
      <w:tr w:rsidR="00A74034" w:rsidRPr="002E7BE4" w14:paraId="0DD9BF6D" w14:textId="77777777" w:rsidTr="00936E4F">
        <w:trPr>
          <w:trHeight w:val="340"/>
        </w:trPr>
        <w:tc>
          <w:tcPr>
            <w:tcW w:w="704" w:type="dxa"/>
            <w:vMerge/>
            <w:tcBorders>
              <w:left w:val="single" w:sz="4" w:space="0" w:color="E7E6E6" w:themeColor="background2"/>
              <w:bottom w:val="single" w:sz="4" w:space="0" w:color="E7E6E6" w:themeColor="background2"/>
              <w:right w:val="single" w:sz="8" w:space="0" w:color="000000" w:themeColor="text1"/>
            </w:tcBorders>
            <w:vAlign w:val="center"/>
          </w:tcPr>
          <w:p w14:paraId="600F5A46" w14:textId="77777777" w:rsidR="00A74034" w:rsidRPr="002E7BE4" w:rsidRDefault="00A74034" w:rsidP="00936E4F">
            <w:pPr>
              <w:jc w:val="center"/>
              <w:rPr>
                <w:rFonts w:ascii="Arial" w:hAnsi="Arial" w:cs="Arial"/>
                <w:lang w:val="en-US"/>
              </w:rPr>
            </w:pPr>
          </w:p>
        </w:tc>
        <w:tc>
          <w:tcPr>
            <w:tcW w:w="525" w:type="dxa"/>
            <w:vMerge/>
            <w:tcBorders>
              <w:left w:val="single" w:sz="8" w:space="0" w:color="000000" w:themeColor="text1"/>
              <w:bottom w:val="single" w:sz="4" w:space="0" w:color="E7E6E6" w:themeColor="background2"/>
              <w:right w:val="single" w:sz="8" w:space="0" w:color="000000" w:themeColor="text1"/>
            </w:tcBorders>
            <w:vAlign w:val="center"/>
          </w:tcPr>
          <w:p w14:paraId="48072BCF" w14:textId="77777777" w:rsidR="00A74034" w:rsidRPr="002E7BE4" w:rsidRDefault="00A74034" w:rsidP="00936E4F">
            <w:pPr>
              <w:jc w:val="center"/>
              <w:rPr>
                <w:rFonts w:ascii="ArialMT" w:hAnsi="ArialMT"/>
                <w:lang w:val="en-US"/>
              </w:rPr>
            </w:pPr>
          </w:p>
        </w:tc>
        <w:tc>
          <w:tcPr>
            <w:tcW w:w="3352" w:type="dxa"/>
            <w:tcBorders>
              <w:top w:val="single" w:sz="4" w:space="0" w:color="000000" w:themeColor="text1"/>
              <w:left w:val="single" w:sz="8" w:space="0" w:color="000000" w:themeColor="text1"/>
              <w:bottom w:val="single" w:sz="4" w:space="0" w:color="E7E6E6" w:themeColor="background2"/>
              <w:right w:val="single" w:sz="4" w:space="0" w:color="000000" w:themeColor="text1"/>
            </w:tcBorders>
            <w:vAlign w:val="center"/>
          </w:tcPr>
          <w:p w14:paraId="5628921E" w14:textId="77777777" w:rsidR="00A74034" w:rsidRPr="002E7BE4" w:rsidRDefault="00A74034" w:rsidP="00936E4F">
            <w:pPr>
              <w:ind w:right="938"/>
              <w:jc w:val="right"/>
              <w:rPr>
                <w:rFonts w:ascii="Arial" w:hAnsi="Arial" w:cs="Arial"/>
              </w:rPr>
            </w:pPr>
            <w:r w:rsidRPr="002E7BE4">
              <w:rPr>
                <w:rFonts w:ascii="Arial" w:hAnsi="Arial" w:cs="Arial"/>
                <w:lang w:val="en-US"/>
              </w:rPr>
              <w:t>&gt; 180</w:t>
            </w:r>
          </w:p>
        </w:tc>
        <w:tc>
          <w:tcPr>
            <w:tcW w:w="3352" w:type="dxa"/>
            <w:tcBorders>
              <w:top w:val="single" w:sz="4" w:space="0" w:color="000000" w:themeColor="text1"/>
              <w:left w:val="single" w:sz="4" w:space="0" w:color="000000" w:themeColor="text1"/>
              <w:bottom w:val="single" w:sz="4" w:space="0" w:color="E7E6E6" w:themeColor="background2"/>
            </w:tcBorders>
            <w:vAlign w:val="center"/>
          </w:tcPr>
          <w:p w14:paraId="6D7A74A5" w14:textId="77777777" w:rsidR="00A74034" w:rsidRPr="002E7BE4" w:rsidRDefault="00A74034" w:rsidP="00936E4F">
            <w:pPr>
              <w:ind w:right="1021"/>
              <w:jc w:val="right"/>
              <w:rPr>
                <w:rFonts w:ascii="Arial" w:hAnsi="Arial" w:cs="Arial"/>
              </w:rPr>
            </w:pPr>
            <w:r w:rsidRPr="002E7BE4">
              <w:rPr>
                <w:rFonts w:ascii="ArialMT" w:hAnsi="ArialMT"/>
                <w:lang w:val="en-US"/>
              </w:rPr>
              <w:t>To be discussed.</w:t>
            </w:r>
          </w:p>
        </w:tc>
      </w:tr>
    </w:tbl>
    <w:p w14:paraId="75917835" w14:textId="77777777" w:rsidR="00A74034" w:rsidRPr="002E7BE4" w:rsidRDefault="00A74034" w:rsidP="00A74034">
      <w:pPr>
        <w:jc w:val="both"/>
        <w:rPr>
          <w:rFonts w:ascii="Arial" w:hAnsi="Arial" w:cs="Arial"/>
          <w:sz w:val="16"/>
          <w:szCs w:val="16"/>
          <w:lang w:val="en-US"/>
        </w:rPr>
      </w:pPr>
    </w:p>
    <w:tbl>
      <w:tblPr>
        <w:tblStyle w:val="a3"/>
        <w:tblW w:w="7933" w:type="dxa"/>
        <w:tblInd w:w="11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04"/>
        <w:gridCol w:w="7229"/>
      </w:tblGrid>
      <w:tr w:rsidR="00A74034" w:rsidRPr="002E7BE4" w14:paraId="4B887114" w14:textId="77777777" w:rsidTr="00936E4F">
        <w:trPr>
          <w:trHeight w:val="454"/>
        </w:trPr>
        <w:tc>
          <w:tcPr>
            <w:tcW w:w="7933" w:type="dxa"/>
            <w:gridSpan w:val="2"/>
            <w:tcBorders>
              <w:bottom w:val="single" w:sz="8" w:space="0" w:color="000000" w:themeColor="text1"/>
            </w:tcBorders>
            <w:vAlign w:val="center"/>
          </w:tcPr>
          <w:p w14:paraId="68BD919F" w14:textId="77777777" w:rsidR="00A74034" w:rsidRPr="005331B6" w:rsidRDefault="00A74034" w:rsidP="00936E4F">
            <w:pPr>
              <w:tabs>
                <w:tab w:val="right" w:leader="hyphen" w:pos="7643"/>
              </w:tabs>
              <w:rPr>
                <w:rFonts w:ascii="Arial" w:hAnsi="Arial" w:cs="Arial"/>
                <w:color w:val="0070C0"/>
                <w:sz w:val="28"/>
                <w:szCs w:val="28"/>
                <w:lang w:val="en-US"/>
              </w:rPr>
            </w:pPr>
            <w:r w:rsidRPr="005331B6">
              <w:rPr>
                <w:rFonts w:ascii="Arial" w:hAnsi="Arial" w:cs="Arial"/>
                <w:color w:val="0070C0"/>
                <w:sz w:val="28"/>
                <w:szCs w:val="28"/>
                <w:lang w:val="en-US"/>
              </w:rPr>
              <w:t>Sewage treatment</w:t>
            </w:r>
          </w:p>
        </w:tc>
      </w:tr>
      <w:tr w:rsidR="00A74034" w:rsidRPr="002E7BE4" w14:paraId="18FB4D71" w14:textId="77777777" w:rsidTr="00936E4F">
        <w:trPr>
          <w:trHeight w:val="1134"/>
        </w:trPr>
        <w:tc>
          <w:tcPr>
            <w:tcW w:w="704" w:type="dxa"/>
            <w:tcBorders>
              <w:top w:val="single" w:sz="8" w:space="0" w:color="000000" w:themeColor="text1"/>
              <w:right w:val="single" w:sz="8" w:space="0" w:color="000000" w:themeColor="text1"/>
            </w:tcBorders>
            <w:vAlign w:val="center"/>
          </w:tcPr>
          <w:p w14:paraId="4C66F0D2" w14:textId="77777777" w:rsidR="00A74034" w:rsidRPr="002E7BE4" w:rsidRDefault="00A74034" w:rsidP="00936E4F">
            <w:pPr>
              <w:jc w:val="center"/>
              <w:rPr>
                <w:rFonts w:ascii="Arial" w:hAnsi="Arial" w:cs="Arial"/>
                <w:lang w:val="en-US"/>
              </w:rPr>
            </w:pPr>
          </w:p>
        </w:tc>
        <w:tc>
          <w:tcPr>
            <w:tcW w:w="7229" w:type="dxa"/>
            <w:tcBorders>
              <w:top w:val="single" w:sz="8" w:space="0" w:color="000000" w:themeColor="text1"/>
              <w:left w:val="single" w:sz="8" w:space="0" w:color="000000" w:themeColor="text1"/>
            </w:tcBorders>
            <w:vAlign w:val="center"/>
          </w:tcPr>
          <w:p w14:paraId="243178FD" w14:textId="77777777" w:rsidR="00A74034" w:rsidRPr="002E7BE4" w:rsidRDefault="00A74034" w:rsidP="00936E4F">
            <w:pPr>
              <w:jc w:val="both"/>
              <w:rPr>
                <w:rFonts w:ascii="Arial" w:hAnsi="Arial" w:cs="Arial"/>
                <w:lang w:val="en-US"/>
              </w:rPr>
            </w:pPr>
            <w:r w:rsidRPr="002E7BE4">
              <w:rPr>
                <w:rFonts w:ascii="ArialMT" w:hAnsi="ArialMT"/>
              </w:rPr>
              <w:t>Sewage Treatment Charge shall be based on 85% of monthly water consumption volume. The rate shall be USD 0.60 per cubic meter (</w:t>
            </w:r>
            <w:r w:rsidRPr="002E7BE4">
              <w:rPr>
                <w:rFonts w:ascii="ArialMT" w:hAnsi="ArialMT"/>
                <w:lang w:val="en-US"/>
              </w:rPr>
              <w:t>N</w:t>
            </w:r>
            <w:r w:rsidRPr="002E7BE4">
              <w:rPr>
                <w:rFonts w:ascii="ArialMT" w:hAnsi="ArialMT"/>
              </w:rPr>
              <w:t xml:space="preserve">et of any tax). </w:t>
            </w:r>
          </w:p>
        </w:tc>
      </w:tr>
    </w:tbl>
    <w:p w14:paraId="7BD69F1F" w14:textId="77777777" w:rsidR="00A74034" w:rsidRPr="002E7BE4" w:rsidRDefault="00A74034" w:rsidP="00A74034">
      <w:pPr>
        <w:jc w:val="both"/>
        <w:rPr>
          <w:rFonts w:ascii="Arial" w:hAnsi="Arial" w:cs="Arial"/>
          <w:sz w:val="16"/>
          <w:szCs w:val="16"/>
          <w:lang w:val="en-US"/>
        </w:rPr>
      </w:pPr>
    </w:p>
    <w:tbl>
      <w:tblPr>
        <w:tblStyle w:val="a3"/>
        <w:tblW w:w="7933" w:type="dxa"/>
        <w:tblInd w:w="1134"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ook w:val="04A0" w:firstRow="1" w:lastRow="0" w:firstColumn="1" w:lastColumn="0" w:noHBand="0" w:noVBand="1"/>
      </w:tblPr>
      <w:tblGrid>
        <w:gridCol w:w="704"/>
        <w:gridCol w:w="473"/>
        <w:gridCol w:w="572"/>
        <w:gridCol w:w="2806"/>
        <w:gridCol w:w="3378"/>
      </w:tblGrid>
      <w:tr w:rsidR="00A74034" w:rsidRPr="002E7BE4" w14:paraId="5C142FC5" w14:textId="77777777" w:rsidTr="00936E4F">
        <w:trPr>
          <w:trHeight w:val="454"/>
        </w:trPr>
        <w:tc>
          <w:tcPr>
            <w:tcW w:w="7933" w:type="dxa"/>
            <w:gridSpan w:val="5"/>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73A35581" w14:textId="77777777" w:rsidR="00A74034" w:rsidRPr="005331B6" w:rsidRDefault="00A74034" w:rsidP="00936E4F">
            <w:pPr>
              <w:tabs>
                <w:tab w:val="right" w:leader="hyphen" w:pos="7643"/>
              </w:tabs>
              <w:rPr>
                <w:rFonts w:ascii="Arial" w:hAnsi="Arial" w:cs="Arial"/>
                <w:color w:val="0070C0"/>
                <w:sz w:val="28"/>
                <w:szCs w:val="28"/>
                <w:lang w:val="en-US"/>
              </w:rPr>
            </w:pPr>
            <w:r w:rsidRPr="005331B6">
              <w:rPr>
                <w:rFonts w:ascii="Arial" w:hAnsi="Arial" w:cs="Arial"/>
                <w:color w:val="0070C0"/>
                <w:sz w:val="28"/>
                <w:szCs w:val="28"/>
                <w:lang w:val="en-US"/>
              </w:rPr>
              <w:t>Electricity supply</w:t>
            </w:r>
          </w:p>
        </w:tc>
      </w:tr>
      <w:tr w:rsidR="00A74034" w:rsidRPr="002E7BE4" w14:paraId="27BAEEC9" w14:textId="77777777" w:rsidTr="00936E4F">
        <w:trPr>
          <w:trHeight w:val="454"/>
        </w:trPr>
        <w:tc>
          <w:tcPr>
            <w:tcW w:w="704" w:type="dxa"/>
            <w:vMerge w:val="restart"/>
            <w:tcBorders>
              <w:top w:val="single" w:sz="8" w:space="0" w:color="000000" w:themeColor="text1"/>
              <w:left w:val="single" w:sz="4" w:space="0" w:color="E7E6E6" w:themeColor="background2"/>
              <w:right w:val="single" w:sz="8" w:space="0" w:color="000000" w:themeColor="text1"/>
            </w:tcBorders>
            <w:vAlign w:val="center"/>
          </w:tcPr>
          <w:p w14:paraId="0D7986CA" w14:textId="77777777" w:rsidR="00A74034" w:rsidRPr="002E7BE4" w:rsidRDefault="00A74034" w:rsidP="00936E4F">
            <w:pPr>
              <w:jc w:val="center"/>
              <w:rPr>
                <w:rFonts w:ascii="Arial" w:hAnsi="Arial" w:cs="Arial"/>
                <w:lang w:val="en-US"/>
              </w:rPr>
            </w:pPr>
          </w:p>
        </w:tc>
        <w:tc>
          <w:tcPr>
            <w:tcW w:w="473"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vAlign w:val="center"/>
          </w:tcPr>
          <w:p w14:paraId="0A34AE48" w14:textId="77777777" w:rsidR="00A74034" w:rsidRPr="002E7BE4" w:rsidRDefault="00A74034" w:rsidP="00936E4F">
            <w:pPr>
              <w:jc w:val="center"/>
              <w:rPr>
                <w:rFonts w:ascii="Arial" w:hAnsi="Arial" w:cs="Arial"/>
                <w:lang w:val="en-US"/>
              </w:rPr>
            </w:pPr>
            <w:r w:rsidRPr="002E7BE4">
              <w:rPr>
                <w:rFonts w:ascii="Arial" w:hAnsi="Arial" w:cs="Arial"/>
                <w:lang w:val="en-US"/>
              </w:rPr>
              <w:t>a</w:t>
            </w:r>
          </w:p>
        </w:tc>
        <w:tc>
          <w:tcPr>
            <w:tcW w:w="6756" w:type="dxa"/>
            <w:gridSpan w:val="3"/>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220EAACB" w14:textId="77777777" w:rsidR="00A74034" w:rsidRPr="002E7BE4" w:rsidRDefault="00A74034" w:rsidP="00936E4F">
            <w:pPr>
              <w:jc w:val="both"/>
              <w:rPr>
                <w:rFonts w:ascii="Arial" w:hAnsi="Arial" w:cs="Arial"/>
                <w:b/>
                <w:bCs/>
                <w:lang w:val="en-US"/>
              </w:rPr>
            </w:pPr>
            <w:r w:rsidRPr="002E7BE4">
              <w:rPr>
                <w:rFonts w:ascii="Arial" w:hAnsi="Arial" w:cs="Arial"/>
                <w:b/>
                <w:bCs/>
                <w:lang w:val="en-US"/>
              </w:rPr>
              <w:t>Power connection</w:t>
            </w:r>
          </w:p>
        </w:tc>
      </w:tr>
      <w:tr w:rsidR="00A74034" w:rsidRPr="002E7BE4" w14:paraId="0619FAAF" w14:textId="77777777" w:rsidTr="00936E4F">
        <w:trPr>
          <w:trHeight w:val="454"/>
        </w:trPr>
        <w:tc>
          <w:tcPr>
            <w:tcW w:w="704" w:type="dxa"/>
            <w:vMerge/>
            <w:tcBorders>
              <w:left w:val="single" w:sz="4" w:space="0" w:color="E7E6E6" w:themeColor="background2"/>
              <w:right w:val="single" w:sz="8" w:space="0" w:color="000000" w:themeColor="text1"/>
            </w:tcBorders>
            <w:vAlign w:val="center"/>
          </w:tcPr>
          <w:p w14:paraId="496761F8" w14:textId="77777777" w:rsidR="00A74034" w:rsidRPr="002E7BE4" w:rsidRDefault="00A74034" w:rsidP="00936E4F">
            <w:pPr>
              <w:jc w:val="center"/>
              <w:rPr>
                <w:rFonts w:ascii="Arial" w:hAnsi="Arial" w:cs="Arial"/>
                <w:lang w:val="en-US"/>
              </w:rPr>
            </w:pPr>
          </w:p>
        </w:tc>
        <w:tc>
          <w:tcPr>
            <w:tcW w:w="47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1E2655D7" w14:textId="77777777" w:rsidR="00A74034" w:rsidRPr="002E7BE4" w:rsidRDefault="00A74034" w:rsidP="00936E4F">
            <w:pPr>
              <w:jc w:val="center"/>
              <w:rPr>
                <w:rFonts w:ascii="Arial" w:hAnsi="Arial" w:cs="Arial"/>
                <w:lang w:val="en-US"/>
              </w:rPr>
            </w:pPr>
          </w:p>
        </w:tc>
        <w:tc>
          <w:tcPr>
            <w:tcW w:w="6756"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FB7DE6A" w14:textId="77777777" w:rsidR="00A74034" w:rsidRPr="002E7BE4" w:rsidRDefault="00A74034" w:rsidP="00936E4F">
            <w:pPr>
              <w:pStyle w:val="a4"/>
              <w:spacing w:before="120" w:beforeAutospacing="0" w:after="80" w:afterAutospacing="0"/>
              <w:jc w:val="both"/>
              <w:rPr>
                <w:rFonts w:ascii="ArialMT" w:hAnsi="ArialMT"/>
                <w:lang w:val="en-US"/>
              </w:rPr>
            </w:pPr>
            <w:r w:rsidRPr="002E7BE4">
              <w:rPr>
                <w:rFonts w:ascii="ArialMT" w:hAnsi="ArialMT"/>
                <w:lang w:val="en-US"/>
              </w:rPr>
              <w:t>The service-user shall pay charge for the use of electricity to the service-provider before or on connecting with the common power supply system. For this, the service-user shall submit application to Desk 6: Construction. In addition to the service-provider, the service-user shall pay related entities such as:</w:t>
            </w:r>
          </w:p>
          <w:p w14:paraId="0BDC6306" w14:textId="77777777" w:rsidR="00A74034" w:rsidRPr="002E7BE4" w:rsidRDefault="00A74034" w:rsidP="00936E4F">
            <w:pPr>
              <w:pStyle w:val="a4"/>
              <w:tabs>
                <w:tab w:val="right" w:pos="615"/>
                <w:tab w:val="left" w:pos="757"/>
              </w:tabs>
              <w:spacing w:before="0" w:beforeAutospacing="0" w:after="0" w:afterAutospacing="0"/>
              <w:jc w:val="both"/>
              <w:rPr>
                <w:rFonts w:ascii="ArialMT" w:hAnsi="ArialMT"/>
                <w:lang w:val="en-US"/>
              </w:rPr>
            </w:pPr>
            <w:r w:rsidRPr="002E7BE4">
              <w:rPr>
                <w:rFonts w:ascii="ArialMT" w:hAnsi="ArialMT"/>
                <w:lang w:val="en-US"/>
              </w:rPr>
              <w:tab/>
              <w:t>—</w:t>
            </w:r>
            <w:r w:rsidRPr="002E7BE4">
              <w:rPr>
                <w:rFonts w:ascii="ArialMT" w:hAnsi="ArialMT"/>
                <w:lang w:val="en-US"/>
              </w:rPr>
              <w:tab/>
              <w:t>Electricity Supply Enterprise (ESE)</w:t>
            </w:r>
          </w:p>
          <w:p w14:paraId="20CFA0D8" w14:textId="77777777" w:rsidR="00A74034" w:rsidRPr="002E7BE4" w:rsidRDefault="00A74034" w:rsidP="00936E4F">
            <w:pPr>
              <w:pStyle w:val="a4"/>
              <w:tabs>
                <w:tab w:val="right" w:pos="615"/>
                <w:tab w:val="left" w:pos="757"/>
              </w:tabs>
              <w:spacing w:before="0" w:beforeAutospacing="0" w:after="0" w:afterAutospacing="0"/>
              <w:jc w:val="both"/>
              <w:rPr>
                <w:rFonts w:ascii="ArialMT" w:hAnsi="ArialMT"/>
                <w:lang w:val="en-US"/>
              </w:rPr>
            </w:pPr>
            <w:r w:rsidRPr="002E7BE4">
              <w:rPr>
                <w:rFonts w:ascii="ArialMT" w:hAnsi="ArialMT"/>
                <w:lang w:val="en-US"/>
              </w:rPr>
              <w:tab/>
              <w:t>—</w:t>
            </w:r>
            <w:r w:rsidRPr="002E7BE4">
              <w:rPr>
                <w:rFonts w:ascii="ArialMT" w:hAnsi="ArialMT"/>
                <w:lang w:val="en-US"/>
              </w:rPr>
              <w:tab/>
              <w:t xml:space="preserve">Yangon Electricity Supply Corporation (YESC) and </w:t>
            </w:r>
          </w:p>
          <w:p w14:paraId="585A32C4" w14:textId="77777777" w:rsidR="00A74034" w:rsidRPr="002E7BE4" w:rsidRDefault="00A74034" w:rsidP="00936E4F">
            <w:pPr>
              <w:pStyle w:val="a4"/>
              <w:tabs>
                <w:tab w:val="right" w:pos="615"/>
                <w:tab w:val="left" w:pos="757"/>
              </w:tabs>
              <w:spacing w:before="0" w:beforeAutospacing="0" w:after="80" w:afterAutospacing="0"/>
              <w:jc w:val="both"/>
              <w:rPr>
                <w:rFonts w:ascii="ArialMT" w:hAnsi="ArialMT"/>
                <w:lang w:val="en-US"/>
              </w:rPr>
            </w:pPr>
            <w:r w:rsidRPr="002E7BE4">
              <w:rPr>
                <w:rFonts w:ascii="ArialMT" w:hAnsi="ArialMT"/>
                <w:lang w:val="en-US"/>
              </w:rPr>
              <w:tab/>
              <w:t>—</w:t>
            </w:r>
            <w:r w:rsidRPr="002E7BE4">
              <w:rPr>
                <w:rFonts w:ascii="ArialMT" w:hAnsi="ArialMT"/>
                <w:lang w:val="en-US"/>
              </w:rPr>
              <w:tab/>
              <w:t>Mandalay Electricity Supply Corporation (MESC)</w:t>
            </w:r>
          </w:p>
          <w:p w14:paraId="175A812B" w14:textId="77777777" w:rsidR="00A74034" w:rsidRPr="002E7BE4" w:rsidRDefault="00A74034" w:rsidP="00936E4F">
            <w:pPr>
              <w:spacing w:after="120"/>
              <w:jc w:val="both"/>
              <w:rPr>
                <w:rFonts w:ascii="Arial" w:hAnsi="Arial" w:cs="Arial"/>
                <w:lang w:val="en-US"/>
              </w:rPr>
            </w:pPr>
            <w:r w:rsidRPr="002E7BE4">
              <w:rPr>
                <w:rFonts w:ascii="ArialMT" w:hAnsi="ArialMT"/>
                <w:lang w:val="en-US"/>
              </w:rPr>
              <w:t>the due charges and fees. After settling all the payments, the service-user can connect to the common power supply system.</w:t>
            </w:r>
          </w:p>
        </w:tc>
      </w:tr>
      <w:tr w:rsidR="00A74034" w:rsidRPr="002E7BE4" w14:paraId="29D4CA94" w14:textId="77777777" w:rsidTr="00936E4F">
        <w:trPr>
          <w:trHeight w:val="454"/>
        </w:trPr>
        <w:tc>
          <w:tcPr>
            <w:tcW w:w="704" w:type="dxa"/>
            <w:vMerge/>
            <w:tcBorders>
              <w:left w:val="single" w:sz="4" w:space="0" w:color="E7E6E6" w:themeColor="background2"/>
              <w:right w:val="single" w:sz="8" w:space="0" w:color="000000" w:themeColor="text1"/>
            </w:tcBorders>
            <w:vAlign w:val="center"/>
          </w:tcPr>
          <w:p w14:paraId="2DB2B78F" w14:textId="77777777" w:rsidR="00A74034" w:rsidRPr="002E7BE4" w:rsidRDefault="00A74034" w:rsidP="00936E4F">
            <w:pPr>
              <w:jc w:val="center"/>
              <w:rPr>
                <w:rFonts w:ascii="Arial" w:hAnsi="Arial" w:cs="Arial"/>
                <w:lang w:val="en-US"/>
              </w:rPr>
            </w:pPr>
          </w:p>
        </w:tc>
        <w:tc>
          <w:tcPr>
            <w:tcW w:w="47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3C38B454" w14:textId="77777777" w:rsidR="00A74034" w:rsidRPr="002E7BE4" w:rsidRDefault="00A74034" w:rsidP="00936E4F">
            <w:pPr>
              <w:jc w:val="center"/>
              <w:rPr>
                <w:rFonts w:ascii="Arial" w:hAnsi="Arial" w:cs="Arial"/>
                <w:lang w:val="en-US"/>
              </w:rPr>
            </w:pPr>
            <w:r w:rsidRPr="002E7BE4">
              <w:rPr>
                <w:rFonts w:ascii="Arial" w:hAnsi="Arial" w:cs="Arial"/>
                <w:lang w:val="en-US"/>
              </w:rPr>
              <w:t>b</w:t>
            </w:r>
          </w:p>
        </w:tc>
        <w:tc>
          <w:tcPr>
            <w:tcW w:w="6756"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66ACA03" w14:textId="77777777" w:rsidR="00A74034" w:rsidRPr="002E7BE4" w:rsidRDefault="00A74034" w:rsidP="00936E4F">
            <w:pPr>
              <w:jc w:val="both"/>
              <w:rPr>
                <w:rFonts w:ascii="Arial" w:hAnsi="Arial" w:cs="Arial"/>
                <w:b/>
                <w:bCs/>
                <w:lang w:val="en-US"/>
              </w:rPr>
            </w:pPr>
            <w:r w:rsidRPr="002E7BE4">
              <w:rPr>
                <w:rFonts w:ascii="Arial" w:hAnsi="Arial" w:cs="Arial"/>
                <w:b/>
                <w:bCs/>
                <w:lang w:val="en-US"/>
              </w:rPr>
              <w:t>Power connection charge</w:t>
            </w:r>
          </w:p>
        </w:tc>
      </w:tr>
      <w:tr w:rsidR="00A74034" w:rsidRPr="002E7BE4" w14:paraId="0BEF502A" w14:textId="77777777" w:rsidTr="00936E4F">
        <w:trPr>
          <w:trHeight w:val="680"/>
        </w:trPr>
        <w:tc>
          <w:tcPr>
            <w:tcW w:w="704" w:type="dxa"/>
            <w:vMerge/>
            <w:tcBorders>
              <w:left w:val="single" w:sz="4" w:space="0" w:color="E7E6E6" w:themeColor="background2"/>
              <w:right w:val="single" w:sz="8" w:space="0" w:color="000000" w:themeColor="text1"/>
            </w:tcBorders>
            <w:vAlign w:val="center"/>
          </w:tcPr>
          <w:p w14:paraId="636C6269" w14:textId="77777777" w:rsidR="00A74034" w:rsidRPr="002E7BE4" w:rsidRDefault="00A74034" w:rsidP="00936E4F">
            <w:pPr>
              <w:jc w:val="center"/>
              <w:rPr>
                <w:rFonts w:ascii="Arial" w:hAnsi="Arial" w:cs="Arial"/>
                <w:lang w:val="en-US"/>
              </w:rPr>
            </w:pPr>
          </w:p>
        </w:tc>
        <w:tc>
          <w:tcPr>
            <w:tcW w:w="473" w:type="dxa"/>
            <w:vMerge w:val="restart"/>
            <w:tcBorders>
              <w:top w:val="single" w:sz="4" w:space="0" w:color="E7E6E6" w:themeColor="background2"/>
              <w:left w:val="single" w:sz="8" w:space="0" w:color="000000" w:themeColor="text1"/>
              <w:right w:val="single" w:sz="8" w:space="0" w:color="000000" w:themeColor="text1"/>
            </w:tcBorders>
            <w:vAlign w:val="center"/>
          </w:tcPr>
          <w:p w14:paraId="50083D65" w14:textId="77777777" w:rsidR="00A74034" w:rsidRPr="002E7BE4" w:rsidRDefault="00A74034" w:rsidP="00936E4F">
            <w:pPr>
              <w:jc w:val="center"/>
              <w:rPr>
                <w:rFonts w:ascii="Arial" w:hAnsi="Arial" w:cs="Arial"/>
                <w:lang w:val="en-US"/>
              </w:rPr>
            </w:pPr>
          </w:p>
        </w:tc>
        <w:tc>
          <w:tcPr>
            <w:tcW w:w="6756"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7283111" w14:textId="77777777" w:rsidR="00A74034" w:rsidRPr="002E7BE4" w:rsidRDefault="00A74034" w:rsidP="00936E4F">
            <w:pPr>
              <w:jc w:val="both"/>
              <w:rPr>
                <w:rFonts w:ascii="Arial" w:hAnsi="Arial" w:cs="Arial"/>
                <w:lang w:val="en-US"/>
              </w:rPr>
            </w:pPr>
            <w:r w:rsidRPr="002E7BE4">
              <w:rPr>
                <w:rFonts w:ascii="ArialMT" w:hAnsi="ArialMT"/>
                <w:lang w:val="en-US"/>
              </w:rPr>
              <w:t>The power connection charge varies depending on the power demand of each service-user’s transformer.</w:t>
            </w:r>
          </w:p>
        </w:tc>
      </w:tr>
      <w:tr w:rsidR="00A74034" w:rsidRPr="002E7BE4" w14:paraId="25D206FF" w14:textId="77777777" w:rsidTr="00936E4F">
        <w:trPr>
          <w:trHeight w:val="510"/>
        </w:trPr>
        <w:tc>
          <w:tcPr>
            <w:tcW w:w="704" w:type="dxa"/>
            <w:vMerge/>
            <w:tcBorders>
              <w:left w:val="single" w:sz="4" w:space="0" w:color="E7E6E6" w:themeColor="background2"/>
              <w:right w:val="single" w:sz="8" w:space="0" w:color="000000" w:themeColor="text1"/>
            </w:tcBorders>
            <w:vAlign w:val="center"/>
          </w:tcPr>
          <w:p w14:paraId="76E31FD0" w14:textId="77777777" w:rsidR="00A74034" w:rsidRPr="002E7BE4" w:rsidRDefault="00A74034" w:rsidP="00936E4F">
            <w:pPr>
              <w:jc w:val="center"/>
              <w:rPr>
                <w:rFonts w:ascii="Arial" w:hAnsi="Arial" w:cs="Arial"/>
                <w:lang w:val="en-US"/>
              </w:rPr>
            </w:pPr>
          </w:p>
        </w:tc>
        <w:tc>
          <w:tcPr>
            <w:tcW w:w="473" w:type="dxa"/>
            <w:vMerge/>
            <w:tcBorders>
              <w:left w:val="single" w:sz="8" w:space="0" w:color="000000" w:themeColor="text1"/>
              <w:right w:val="single" w:sz="8" w:space="0" w:color="000000" w:themeColor="text1"/>
            </w:tcBorders>
            <w:vAlign w:val="center"/>
          </w:tcPr>
          <w:p w14:paraId="0248767D" w14:textId="77777777" w:rsidR="00A74034" w:rsidRPr="002E7BE4" w:rsidRDefault="00A74034" w:rsidP="00936E4F">
            <w:pPr>
              <w:jc w:val="center"/>
              <w:rPr>
                <w:rFonts w:ascii="Arial" w:hAnsi="Arial" w:cs="Arial"/>
                <w:lang w:val="en-US"/>
              </w:rPr>
            </w:pPr>
          </w:p>
        </w:tc>
        <w:tc>
          <w:tcPr>
            <w:tcW w:w="3378" w:type="dxa"/>
            <w:gridSpan w:val="2"/>
            <w:tcBorders>
              <w:top w:val="single" w:sz="4" w:space="0" w:color="E7E6E6" w:themeColor="background2"/>
              <w:left w:val="single" w:sz="8" w:space="0" w:color="000000" w:themeColor="text1"/>
              <w:bottom w:val="single" w:sz="4" w:space="0" w:color="000000" w:themeColor="text1"/>
              <w:right w:val="single" w:sz="4" w:space="0" w:color="000000" w:themeColor="text1"/>
            </w:tcBorders>
            <w:vAlign w:val="center"/>
          </w:tcPr>
          <w:p w14:paraId="30F639B5" w14:textId="77777777" w:rsidR="00A74034" w:rsidRPr="002E7BE4" w:rsidRDefault="00A74034" w:rsidP="00936E4F">
            <w:pPr>
              <w:pStyle w:val="a4"/>
              <w:spacing w:before="0" w:beforeAutospacing="0" w:after="0" w:afterAutospacing="0"/>
              <w:jc w:val="center"/>
              <w:rPr>
                <w:rFonts w:ascii="Arial" w:hAnsi="Arial" w:cs="Arial"/>
                <w:b/>
                <w:bCs/>
                <w:sz w:val="22"/>
                <w:szCs w:val="22"/>
              </w:rPr>
            </w:pPr>
            <w:r w:rsidRPr="002E7BE4">
              <w:rPr>
                <w:rFonts w:ascii="Arial" w:hAnsi="Arial" w:cs="Arial"/>
                <w:b/>
                <w:bCs/>
                <w:sz w:val="22"/>
                <w:szCs w:val="22"/>
              </w:rPr>
              <w:t xml:space="preserve">Power </w:t>
            </w:r>
            <w:r w:rsidRPr="002E7BE4">
              <w:rPr>
                <w:rFonts w:ascii="Arial" w:hAnsi="Arial" w:cs="Arial"/>
                <w:b/>
                <w:bCs/>
                <w:sz w:val="22"/>
                <w:szCs w:val="22"/>
                <w:lang w:val="en-US"/>
              </w:rPr>
              <w:t>d</w:t>
            </w:r>
            <w:r w:rsidRPr="002E7BE4">
              <w:rPr>
                <w:rFonts w:ascii="Arial" w:hAnsi="Arial" w:cs="Arial"/>
                <w:b/>
                <w:bCs/>
                <w:sz w:val="22"/>
                <w:szCs w:val="22"/>
              </w:rPr>
              <w:t>emand</w:t>
            </w:r>
          </w:p>
          <w:p w14:paraId="7110933E" w14:textId="77777777" w:rsidR="00A74034" w:rsidRPr="002E7BE4" w:rsidRDefault="00A74034" w:rsidP="00936E4F">
            <w:pPr>
              <w:jc w:val="center"/>
              <w:rPr>
                <w:rFonts w:ascii="Arial" w:hAnsi="Arial" w:cs="Arial"/>
                <w:sz w:val="22"/>
                <w:szCs w:val="22"/>
                <w:lang w:val="en-US"/>
              </w:rPr>
            </w:pPr>
            <w:r w:rsidRPr="002E7BE4">
              <w:rPr>
                <w:rFonts w:ascii="Arial" w:hAnsi="Arial" w:cs="Arial"/>
                <w:b/>
                <w:bCs/>
                <w:sz w:val="22"/>
                <w:szCs w:val="22"/>
              </w:rPr>
              <w:t>(kVA/ha)</w:t>
            </w:r>
          </w:p>
        </w:tc>
        <w:tc>
          <w:tcPr>
            <w:tcW w:w="3378" w:type="dxa"/>
            <w:tcBorders>
              <w:top w:val="single" w:sz="4" w:space="0" w:color="E7E6E6" w:themeColor="background2"/>
              <w:left w:val="single" w:sz="4" w:space="0" w:color="000000" w:themeColor="text1"/>
              <w:bottom w:val="single" w:sz="4" w:space="0" w:color="000000" w:themeColor="text1"/>
              <w:right w:val="single" w:sz="4" w:space="0" w:color="E7E6E6" w:themeColor="background2"/>
            </w:tcBorders>
            <w:vAlign w:val="center"/>
          </w:tcPr>
          <w:p w14:paraId="23EDB519" w14:textId="77777777" w:rsidR="00A74034" w:rsidRPr="002E7BE4" w:rsidRDefault="00A74034" w:rsidP="00936E4F">
            <w:pPr>
              <w:pStyle w:val="a4"/>
              <w:spacing w:before="0" w:beforeAutospacing="0" w:after="0" w:afterAutospacing="0"/>
              <w:jc w:val="center"/>
              <w:rPr>
                <w:rFonts w:ascii="Arial" w:hAnsi="Arial" w:cs="Arial"/>
                <w:b/>
                <w:bCs/>
                <w:sz w:val="22"/>
                <w:szCs w:val="22"/>
              </w:rPr>
            </w:pPr>
            <w:r w:rsidRPr="002E7BE4">
              <w:rPr>
                <w:rFonts w:ascii="Arial" w:hAnsi="Arial" w:cs="Arial"/>
                <w:b/>
                <w:bCs/>
                <w:sz w:val="22"/>
                <w:szCs w:val="22"/>
              </w:rPr>
              <w:t>Charge</w:t>
            </w:r>
          </w:p>
          <w:p w14:paraId="7149586B" w14:textId="77777777" w:rsidR="00A74034" w:rsidRPr="002E7BE4" w:rsidRDefault="00A74034" w:rsidP="00936E4F">
            <w:pPr>
              <w:jc w:val="center"/>
              <w:rPr>
                <w:rFonts w:ascii="Arial" w:hAnsi="Arial" w:cs="Arial"/>
                <w:sz w:val="22"/>
                <w:szCs w:val="22"/>
                <w:lang w:val="en-US"/>
              </w:rPr>
            </w:pPr>
            <w:r w:rsidRPr="002E7BE4">
              <w:rPr>
                <w:rFonts w:ascii="Arial" w:hAnsi="Arial" w:cs="Arial"/>
                <w:b/>
                <w:bCs/>
                <w:sz w:val="22"/>
                <w:szCs w:val="22"/>
              </w:rPr>
              <w:t>(</w:t>
            </w:r>
            <w:r w:rsidRPr="002E7BE4">
              <w:rPr>
                <w:rFonts w:ascii="Arial" w:hAnsi="Arial" w:cs="Arial"/>
                <w:b/>
                <w:bCs/>
                <w:sz w:val="22"/>
                <w:szCs w:val="22"/>
                <w:lang w:val="en-US"/>
              </w:rPr>
              <w:t>N</w:t>
            </w:r>
            <w:r w:rsidRPr="002E7BE4">
              <w:rPr>
                <w:rFonts w:ascii="Arial" w:hAnsi="Arial" w:cs="Arial"/>
                <w:b/>
                <w:bCs/>
                <w:sz w:val="22"/>
                <w:szCs w:val="22"/>
              </w:rPr>
              <w:t>et of any tax) (In USD)</w:t>
            </w:r>
          </w:p>
        </w:tc>
      </w:tr>
      <w:tr w:rsidR="00A74034" w:rsidRPr="002E7BE4" w14:paraId="0C4B3BF2" w14:textId="77777777" w:rsidTr="00936E4F">
        <w:trPr>
          <w:trHeight w:val="340"/>
        </w:trPr>
        <w:tc>
          <w:tcPr>
            <w:tcW w:w="704" w:type="dxa"/>
            <w:vMerge/>
            <w:tcBorders>
              <w:left w:val="single" w:sz="4" w:space="0" w:color="E7E6E6" w:themeColor="background2"/>
              <w:right w:val="single" w:sz="8" w:space="0" w:color="000000" w:themeColor="text1"/>
            </w:tcBorders>
            <w:vAlign w:val="center"/>
          </w:tcPr>
          <w:p w14:paraId="05631D83" w14:textId="77777777" w:rsidR="00A74034" w:rsidRPr="002E7BE4" w:rsidRDefault="00A74034" w:rsidP="00936E4F">
            <w:pPr>
              <w:jc w:val="center"/>
              <w:rPr>
                <w:rFonts w:ascii="Arial" w:hAnsi="Arial" w:cs="Arial"/>
                <w:lang w:val="en-US"/>
              </w:rPr>
            </w:pPr>
          </w:p>
        </w:tc>
        <w:tc>
          <w:tcPr>
            <w:tcW w:w="473" w:type="dxa"/>
            <w:vMerge/>
            <w:tcBorders>
              <w:left w:val="single" w:sz="8" w:space="0" w:color="000000" w:themeColor="text1"/>
              <w:right w:val="single" w:sz="8" w:space="0" w:color="000000" w:themeColor="text1"/>
            </w:tcBorders>
            <w:vAlign w:val="center"/>
          </w:tcPr>
          <w:p w14:paraId="466FD8E5" w14:textId="77777777" w:rsidR="00A74034" w:rsidRPr="002E7BE4" w:rsidRDefault="00A74034" w:rsidP="00936E4F">
            <w:pPr>
              <w:jc w:val="center"/>
              <w:rPr>
                <w:rFonts w:ascii="Arial" w:hAnsi="Arial" w:cs="Arial"/>
                <w:lang w:val="en-US"/>
              </w:rPr>
            </w:pPr>
          </w:p>
        </w:tc>
        <w:tc>
          <w:tcPr>
            <w:tcW w:w="3378" w:type="dxa"/>
            <w:gridSpan w:val="2"/>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4BE0ACC5" w14:textId="77777777" w:rsidR="00A74034" w:rsidRPr="002E7BE4" w:rsidRDefault="00A74034" w:rsidP="00936E4F">
            <w:pPr>
              <w:ind w:right="909"/>
              <w:jc w:val="right"/>
              <w:rPr>
                <w:rFonts w:ascii="Arial" w:hAnsi="Arial" w:cs="Arial"/>
                <w:lang w:val="en-US"/>
              </w:rPr>
            </w:pPr>
            <w:r w:rsidRPr="002E7BE4">
              <w:rPr>
                <w:rFonts w:ascii="ArialMT" w:hAnsi="ArialMT"/>
                <w:sz w:val="21"/>
                <w:szCs w:val="21"/>
                <w:lang w:val="en-US"/>
              </w:rPr>
              <w:t xml:space="preserve">0 – 200 </w:t>
            </w:r>
          </w:p>
        </w:tc>
        <w:tc>
          <w:tcPr>
            <w:tcW w:w="3378"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0550EAC5" w14:textId="77777777" w:rsidR="00A74034" w:rsidRPr="002E7BE4" w:rsidRDefault="00A74034" w:rsidP="00936E4F">
            <w:pPr>
              <w:ind w:right="1170"/>
              <w:jc w:val="right"/>
              <w:rPr>
                <w:rFonts w:ascii="Arial" w:hAnsi="Arial" w:cs="Arial"/>
                <w:lang w:val="en-US"/>
              </w:rPr>
            </w:pPr>
            <w:r w:rsidRPr="002E7BE4">
              <w:rPr>
                <w:rFonts w:ascii="ArialMT" w:hAnsi="ArialMT"/>
                <w:sz w:val="21"/>
                <w:szCs w:val="21"/>
                <w:lang w:val="en-US"/>
              </w:rPr>
              <w:t>10,000</w:t>
            </w:r>
          </w:p>
        </w:tc>
      </w:tr>
      <w:tr w:rsidR="00A74034" w:rsidRPr="002E7BE4" w14:paraId="4FA2D511" w14:textId="77777777" w:rsidTr="00936E4F">
        <w:trPr>
          <w:trHeight w:val="340"/>
        </w:trPr>
        <w:tc>
          <w:tcPr>
            <w:tcW w:w="704" w:type="dxa"/>
            <w:vMerge/>
            <w:tcBorders>
              <w:left w:val="single" w:sz="4" w:space="0" w:color="E7E6E6" w:themeColor="background2"/>
              <w:right w:val="single" w:sz="8" w:space="0" w:color="000000" w:themeColor="text1"/>
            </w:tcBorders>
            <w:vAlign w:val="center"/>
          </w:tcPr>
          <w:p w14:paraId="3D47651E" w14:textId="77777777" w:rsidR="00A74034" w:rsidRPr="002E7BE4" w:rsidRDefault="00A74034" w:rsidP="00936E4F">
            <w:pPr>
              <w:jc w:val="center"/>
              <w:rPr>
                <w:rFonts w:ascii="Arial" w:hAnsi="Arial" w:cs="Arial"/>
                <w:lang w:val="en-US"/>
              </w:rPr>
            </w:pPr>
          </w:p>
        </w:tc>
        <w:tc>
          <w:tcPr>
            <w:tcW w:w="473" w:type="dxa"/>
            <w:vMerge/>
            <w:tcBorders>
              <w:left w:val="single" w:sz="8" w:space="0" w:color="000000" w:themeColor="text1"/>
              <w:right w:val="single" w:sz="8" w:space="0" w:color="000000" w:themeColor="text1"/>
            </w:tcBorders>
            <w:vAlign w:val="center"/>
          </w:tcPr>
          <w:p w14:paraId="76FEFE32" w14:textId="77777777" w:rsidR="00A74034" w:rsidRPr="002E7BE4" w:rsidRDefault="00A74034" w:rsidP="00936E4F">
            <w:pPr>
              <w:jc w:val="center"/>
              <w:rPr>
                <w:rFonts w:ascii="Arial" w:hAnsi="Arial" w:cs="Arial"/>
                <w:lang w:val="en-US"/>
              </w:rPr>
            </w:pPr>
          </w:p>
        </w:tc>
        <w:tc>
          <w:tcPr>
            <w:tcW w:w="3378" w:type="dxa"/>
            <w:gridSpan w:val="2"/>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2F6ABD40" w14:textId="77777777" w:rsidR="00A74034" w:rsidRPr="002E7BE4" w:rsidRDefault="00A74034" w:rsidP="00936E4F">
            <w:pPr>
              <w:ind w:right="909"/>
              <w:jc w:val="right"/>
              <w:rPr>
                <w:rFonts w:ascii="Arial" w:hAnsi="Arial" w:cs="Arial"/>
                <w:lang w:val="en-US"/>
              </w:rPr>
            </w:pPr>
            <w:r w:rsidRPr="002E7BE4">
              <w:rPr>
                <w:rFonts w:ascii="ArialMT" w:hAnsi="ArialMT"/>
                <w:sz w:val="21"/>
                <w:szCs w:val="21"/>
                <w:lang w:val="en-US"/>
              </w:rPr>
              <w:t xml:space="preserve">&gt; 200 – 400 </w:t>
            </w:r>
          </w:p>
        </w:tc>
        <w:tc>
          <w:tcPr>
            <w:tcW w:w="3378"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2CEB081C" w14:textId="77777777" w:rsidR="00A74034" w:rsidRPr="002E7BE4" w:rsidRDefault="00A74034" w:rsidP="00936E4F">
            <w:pPr>
              <w:ind w:right="1170"/>
              <w:jc w:val="right"/>
              <w:rPr>
                <w:rFonts w:ascii="Arial" w:hAnsi="Arial" w:cs="Arial"/>
                <w:lang w:val="en-US"/>
              </w:rPr>
            </w:pPr>
            <w:r w:rsidRPr="002E7BE4">
              <w:rPr>
                <w:rFonts w:ascii="ArialMT" w:hAnsi="ArialMT"/>
                <w:sz w:val="21"/>
                <w:szCs w:val="21"/>
                <w:lang w:val="en-US"/>
              </w:rPr>
              <w:t>50,000</w:t>
            </w:r>
          </w:p>
        </w:tc>
      </w:tr>
      <w:tr w:rsidR="00A74034" w:rsidRPr="002E7BE4" w14:paraId="127A1F6D" w14:textId="77777777" w:rsidTr="00936E4F">
        <w:trPr>
          <w:trHeight w:val="340"/>
        </w:trPr>
        <w:tc>
          <w:tcPr>
            <w:tcW w:w="704" w:type="dxa"/>
            <w:vMerge/>
            <w:tcBorders>
              <w:left w:val="single" w:sz="4" w:space="0" w:color="E7E6E6" w:themeColor="background2"/>
              <w:right w:val="single" w:sz="8" w:space="0" w:color="000000" w:themeColor="text1"/>
            </w:tcBorders>
            <w:vAlign w:val="center"/>
          </w:tcPr>
          <w:p w14:paraId="34D4BE2D" w14:textId="77777777" w:rsidR="00A74034" w:rsidRPr="002E7BE4" w:rsidRDefault="00A74034" w:rsidP="00936E4F">
            <w:pPr>
              <w:jc w:val="center"/>
              <w:rPr>
                <w:rFonts w:ascii="Arial" w:hAnsi="Arial" w:cs="Arial"/>
                <w:lang w:val="en-US"/>
              </w:rPr>
            </w:pPr>
          </w:p>
        </w:tc>
        <w:tc>
          <w:tcPr>
            <w:tcW w:w="473" w:type="dxa"/>
            <w:vMerge/>
            <w:tcBorders>
              <w:left w:val="single" w:sz="8" w:space="0" w:color="000000" w:themeColor="text1"/>
              <w:right w:val="single" w:sz="8" w:space="0" w:color="000000" w:themeColor="text1"/>
            </w:tcBorders>
            <w:vAlign w:val="center"/>
          </w:tcPr>
          <w:p w14:paraId="60908562" w14:textId="77777777" w:rsidR="00A74034" w:rsidRPr="002E7BE4" w:rsidRDefault="00A74034" w:rsidP="00936E4F">
            <w:pPr>
              <w:jc w:val="center"/>
              <w:rPr>
                <w:rFonts w:ascii="Arial" w:hAnsi="Arial" w:cs="Arial"/>
                <w:lang w:val="en-US"/>
              </w:rPr>
            </w:pPr>
          </w:p>
        </w:tc>
        <w:tc>
          <w:tcPr>
            <w:tcW w:w="3378" w:type="dxa"/>
            <w:gridSpan w:val="2"/>
            <w:tcBorders>
              <w:top w:val="single" w:sz="4" w:space="0" w:color="000000" w:themeColor="text1"/>
              <w:left w:val="single" w:sz="8" w:space="0" w:color="000000" w:themeColor="text1"/>
              <w:bottom w:val="single" w:sz="8" w:space="0" w:color="000000" w:themeColor="text1"/>
              <w:right w:val="single" w:sz="4" w:space="0" w:color="000000" w:themeColor="text1"/>
            </w:tcBorders>
            <w:vAlign w:val="center"/>
          </w:tcPr>
          <w:p w14:paraId="2359F3EB" w14:textId="77777777" w:rsidR="00A74034" w:rsidRPr="002E7BE4" w:rsidRDefault="00A74034" w:rsidP="00936E4F">
            <w:pPr>
              <w:ind w:right="909"/>
              <w:jc w:val="right"/>
              <w:rPr>
                <w:rFonts w:ascii="Arial" w:hAnsi="Arial" w:cs="Arial"/>
                <w:lang w:val="en-US"/>
              </w:rPr>
            </w:pPr>
            <w:r w:rsidRPr="002E7BE4">
              <w:rPr>
                <w:rFonts w:ascii="ArialMT" w:hAnsi="ArialMT"/>
                <w:sz w:val="21"/>
                <w:szCs w:val="21"/>
                <w:lang w:val="en-US"/>
              </w:rPr>
              <w:t xml:space="preserve">&gt; 400 – 800 </w:t>
            </w:r>
          </w:p>
        </w:tc>
        <w:tc>
          <w:tcPr>
            <w:tcW w:w="3378"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4CEF46C0" w14:textId="77777777" w:rsidR="00A74034" w:rsidRPr="002E7BE4" w:rsidRDefault="00A74034" w:rsidP="00936E4F">
            <w:pPr>
              <w:ind w:right="1170"/>
              <w:jc w:val="right"/>
              <w:rPr>
                <w:rFonts w:ascii="Arial" w:hAnsi="Arial" w:cs="Arial"/>
                <w:lang w:val="en-US"/>
              </w:rPr>
            </w:pPr>
            <w:r w:rsidRPr="002E7BE4">
              <w:rPr>
                <w:rFonts w:ascii="ArialMT" w:hAnsi="ArialMT"/>
                <w:sz w:val="21"/>
                <w:szCs w:val="21"/>
                <w:lang w:val="en-US"/>
              </w:rPr>
              <w:t>100,000</w:t>
            </w:r>
          </w:p>
        </w:tc>
      </w:tr>
      <w:tr w:rsidR="00A74034" w:rsidRPr="002E7BE4" w14:paraId="6B500B6B" w14:textId="77777777" w:rsidTr="00936E4F">
        <w:trPr>
          <w:trHeight w:val="340"/>
        </w:trPr>
        <w:tc>
          <w:tcPr>
            <w:tcW w:w="704" w:type="dxa"/>
            <w:vMerge/>
            <w:tcBorders>
              <w:left w:val="single" w:sz="4" w:space="0" w:color="E7E6E6" w:themeColor="background2"/>
              <w:right w:val="single" w:sz="8" w:space="0" w:color="000000" w:themeColor="text1"/>
            </w:tcBorders>
            <w:vAlign w:val="center"/>
          </w:tcPr>
          <w:p w14:paraId="72144CBF" w14:textId="77777777" w:rsidR="00A74034" w:rsidRPr="002E7BE4" w:rsidRDefault="00A74034" w:rsidP="00936E4F">
            <w:pPr>
              <w:jc w:val="center"/>
              <w:rPr>
                <w:rFonts w:ascii="Arial" w:hAnsi="Arial" w:cs="Arial"/>
                <w:lang w:val="en-US"/>
              </w:rPr>
            </w:pPr>
          </w:p>
        </w:tc>
        <w:tc>
          <w:tcPr>
            <w:tcW w:w="473" w:type="dxa"/>
            <w:vMerge/>
            <w:tcBorders>
              <w:left w:val="single" w:sz="8" w:space="0" w:color="000000" w:themeColor="text1"/>
              <w:right w:val="single" w:sz="8" w:space="0" w:color="000000" w:themeColor="text1"/>
            </w:tcBorders>
            <w:vAlign w:val="center"/>
          </w:tcPr>
          <w:p w14:paraId="0FD1256A" w14:textId="77777777" w:rsidR="00A74034" w:rsidRPr="002E7BE4" w:rsidRDefault="00A74034" w:rsidP="00936E4F">
            <w:pPr>
              <w:jc w:val="center"/>
              <w:rPr>
                <w:rFonts w:ascii="Arial" w:hAnsi="Arial" w:cs="Arial"/>
                <w:lang w:val="en-US"/>
              </w:rPr>
            </w:pPr>
          </w:p>
        </w:tc>
        <w:tc>
          <w:tcPr>
            <w:tcW w:w="3378" w:type="dxa"/>
            <w:gridSpan w:val="2"/>
            <w:tcBorders>
              <w:top w:val="single" w:sz="8" w:space="0" w:color="000000" w:themeColor="text1"/>
              <w:left w:val="single" w:sz="8" w:space="0" w:color="000000" w:themeColor="text1"/>
              <w:bottom w:val="single" w:sz="4" w:space="0" w:color="000000" w:themeColor="text1"/>
              <w:right w:val="single" w:sz="4" w:space="0" w:color="000000" w:themeColor="text1"/>
            </w:tcBorders>
            <w:vAlign w:val="center"/>
          </w:tcPr>
          <w:p w14:paraId="659507E1" w14:textId="77777777" w:rsidR="00A74034" w:rsidRPr="002E7BE4" w:rsidRDefault="00A74034" w:rsidP="00936E4F">
            <w:pPr>
              <w:ind w:right="909"/>
              <w:jc w:val="right"/>
              <w:rPr>
                <w:rFonts w:ascii="Arial" w:hAnsi="Arial" w:cs="Arial"/>
                <w:lang w:val="en-US"/>
              </w:rPr>
            </w:pPr>
            <w:r w:rsidRPr="002E7BE4">
              <w:rPr>
                <w:rFonts w:ascii="ArialMT" w:hAnsi="ArialMT"/>
                <w:sz w:val="21"/>
                <w:szCs w:val="21"/>
                <w:lang w:val="en-US"/>
              </w:rPr>
              <w:t xml:space="preserve">&gt; 800 – 1,200 </w:t>
            </w:r>
          </w:p>
        </w:tc>
        <w:tc>
          <w:tcPr>
            <w:tcW w:w="3378"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215C41AB" w14:textId="77777777" w:rsidR="00A74034" w:rsidRPr="002E7BE4" w:rsidRDefault="00A74034" w:rsidP="00936E4F">
            <w:pPr>
              <w:ind w:right="1170"/>
              <w:jc w:val="right"/>
              <w:rPr>
                <w:rFonts w:ascii="Arial" w:hAnsi="Arial" w:cs="Arial"/>
                <w:lang w:val="en-US"/>
              </w:rPr>
            </w:pPr>
            <w:r w:rsidRPr="002E7BE4">
              <w:rPr>
                <w:rFonts w:ascii="ArialMT" w:hAnsi="ArialMT"/>
                <w:sz w:val="21"/>
                <w:szCs w:val="21"/>
                <w:lang w:val="en-US"/>
              </w:rPr>
              <w:t>160,000</w:t>
            </w:r>
          </w:p>
        </w:tc>
      </w:tr>
      <w:tr w:rsidR="00A74034" w:rsidRPr="002E7BE4" w14:paraId="79540931" w14:textId="77777777" w:rsidTr="00936E4F">
        <w:trPr>
          <w:trHeight w:val="340"/>
        </w:trPr>
        <w:tc>
          <w:tcPr>
            <w:tcW w:w="704" w:type="dxa"/>
            <w:vMerge/>
            <w:tcBorders>
              <w:left w:val="single" w:sz="4" w:space="0" w:color="E7E6E6" w:themeColor="background2"/>
              <w:right w:val="single" w:sz="8" w:space="0" w:color="000000" w:themeColor="text1"/>
            </w:tcBorders>
            <w:vAlign w:val="center"/>
          </w:tcPr>
          <w:p w14:paraId="78D300F4" w14:textId="77777777" w:rsidR="00A74034" w:rsidRPr="002E7BE4" w:rsidRDefault="00A74034" w:rsidP="00936E4F">
            <w:pPr>
              <w:jc w:val="center"/>
              <w:rPr>
                <w:rFonts w:ascii="Arial" w:hAnsi="Arial" w:cs="Arial"/>
                <w:lang w:val="en-US"/>
              </w:rPr>
            </w:pPr>
          </w:p>
        </w:tc>
        <w:tc>
          <w:tcPr>
            <w:tcW w:w="473" w:type="dxa"/>
            <w:vMerge/>
            <w:tcBorders>
              <w:left w:val="single" w:sz="8" w:space="0" w:color="000000" w:themeColor="text1"/>
              <w:right w:val="single" w:sz="8" w:space="0" w:color="000000" w:themeColor="text1"/>
            </w:tcBorders>
            <w:vAlign w:val="center"/>
          </w:tcPr>
          <w:p w14:paraId="51D87EDC" w14:textId="77777777" w:rsidR="00A74034" w:rsidRPr="002E7BE4" w:rsidRDefault="00A74034" w:rsidP="00936E4F">
            <w:pPr>
              <w:jc w:val="center"/>
              <w:rPr>
                <w:rFonts w:ascii="Arial" w:hAnsi="Arial" w:cs="Arial"/>
                <w:lang w:val="en-US"/>
              </w:rPr>
            </w:pPr>
          </w:p>
        </w:tc>
        <w:tc>
          <w:tcPr>
            <w:tcW w:w="3378" w:type="dxa"/>
            <w:gridSpan w:val="2"/>
            <w:tcBorders>
              <w:top w:val="single" w:sz="4" w:space="0" w:color="000000" w:themeColor="text1"/>
              <w:left w:val="single" w:sz="8" w:space="0" w:color="000000" w:themeColor="text1"/>
              <w:bottom w:val="single" w:sz="8" w:space="0" w:color="000000" w:themeColor="text1"/>
              <w:right w:val="single" w:sz="4" w:space="0" w:color="000000" w:themeColor="text1"/>
            </w:tcBorders>
            <w:vAlign w:val="center"/>
          </w:tcPr>
          <w:p w14:paraId="79879F40" w14:textId="77777777" w:rsidR="00A74034" w:rsidRPr="002E7BE4" w:rsidRDefault="00A74034" w:rsidP="00936E4F">
            <w:pPr>
              <w:ind w:right="909"/>
              <w:jc w:val="right"/>
              <w:rPr>
                <w:rFonts w:ascii="Arial" w:hAnsi="Arial" w:cs="Arial"/>
                <w:lang w:val="en-US"/>
              </w:rPr>
            </w:pPr>
            <w:r w:rsidRPr="002E7BE4">
              <w:rPr>
                <w:rFonts w:ascii="ArialMT" w:hAnsi="ArialMT"/>
                <w:sz w:val="21"/>
                <w:szCs w:val="21"/>
                <w:lang w:val="en-US"/>
              </w:rPr>
              <w:t xml:space="preserve">&gt; 1,200 – 1,600 </w:t>
            </w:r>
          </w:p>
        </w:tc>
        <w:tc>
          <w:tcPr>
            <w:tcW w:w="3378"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62F55894" w14:textId="77777777" w:rsidR="00A74034" w:rsidRPr="002E7BE4" w:rsidRDefault="00A74034" w:rsidP="00936E4F">
            <w:pPr>
              <w:ind w:right="1170"/>
              <w:jc w:val="right"/>
              <w:rPr>
                <w:rFonts w:ascii="Arial" w:hAnsi="Arial" w:cs="Arial"/>
                <w:lang w:val="en-US"/>
              </w:rPr>
            </w:pPr>
            <w:r w:rsidRPr="002E7BE4">
              <w:rPr>
                <w:rFonts w:ascii="ArialMT" w:hAnsi="ArialMT"/>
                <w:sz w:val="21"/>
                <w:szCs w:val="21"/>
                <w:lang w:val="en-US"/>
              </w:rPr>
              <w:t>220,000</w:t>
            </w:r>
          </w:p>
        </w:tc>
      </w:tr>
      <w:tr w:rsidR="00A74034" w:rsidRPr="002E7BE4" w14:paraId="2FEF3FC0" w14:textId="77777777" w:rsidTr="00936E4F">
        <w:trPr>
          <w:trHeight w:val="227"/>
        </w:trPr>
        <w:tc>
          <w:tcPr>
            <w:tcW w:w="704" w:type="dxa"/>
            <w:vMerge/>
            <w:tcBorders>
              <w:left w:val="single" w:sz="4" w:space="0" w:color="E7E6E6" w:themeColor="background2"/>
              <w:right w:val="single" w:sz="8" w:space="0" w:color="000000" w:themeColor="text1"/>
            </w:tcBorders>
            <w:vAlign w:val="center"/>
          </w:tcPr>
          <w:p w14:paraId="27F19E6E" w14:textId="77777777" w:rsidR="00A74034" w:rsidRPr="002E7BE4" w:rsidRDefault="00A74034" w:rsidP="00936E4F">
            <w:pPr>
              <w:jc w:val="center"/>
              <w:rPr>
                <w:rFonts w:ascii="Arial" w:hAnsi="Arial" w:cs="Arial"/>
                <w:lang w:val="en-US"/>
              </w:rPr>
            </w:pPr>
          </w:p>
        </w:tc>
        <w:tc>
          <w:tcPr>
            <w:tcW w:w="473" w:type="dxa"/>
            <w:vMerge/>
            <w:tcBorders>
              <w:left w:val="single" w:sz="8" w:space="0" w:color="000000" w:themeColor="text1"/>
              <w:right w:val="single" w:sz="8" w:space="0" w:color="000000" w:themeColor="text1"/>
            </w:tcBorders>
            <w:vAlign w:val="center"/>
          </w:tcPr>
          <w:p w14:paraId="7B579EB9" w14:textId="77777777" w:rsidR="00A74034" w:rsidRPr="002E7BE4" w:rsidRDefault="00A74034" w:rsidP="00936E4F">
            <w:pPr>
              <w:jc w:val="center"/>
              <w:rPr>
                <w:rFonts w:ascii="Arial" w:hAnsi="Arial" w:cs="Arial"/>
                <w:lang w:val="en-US"/>
              </w:rPr>
            </w:pPr>
          </w:p>
        </w:tc>
        <w:tc>
          <w:tcPr>
            <w:tcW w:w="3378" w:type="dxa"/>
            <w:gridSpan w:val="2"/>
            <w:tcBorders>
              <w:top w:val="single" w:sz="8" w:space="0" w:color="000000" w:themeColor="text1"/>
              <w:left w:val="single" w:sz="8" w:space="0" w:color="000000" w:themeColor="text1"/>
              <w:bottom w:val="single" w:sz="8" w:space="0" w:color="E7E6E6" w:themeColor="background2"/>
              <w:right w:val="single" w:sz="8" w:space="0" w:color="000000" w:themeColor="text1"/>
            </w:tcBorders>
            <w:vAlign w:val="center"/>
          </w:tcPr>
          <w:p w14:paraId="6B712B52" w14:textId="77777777" w:rsidR="00A74034" w:rsidRPr="002E7BE4" w:rsidRDefault="00A74034" w:rsidP="00936E4F">
            <w:pPr>
              <w:ind w:right="909"/>
              <w:jc w:val="right"/>
              <w:rPr>
                <w:rFonts w:ascii="ArialMT" w:hAnsi="ArialMT"/>
                <w:sz w:val="21"/>
                <w:szCs w:val="21"/>
                <w:lang w:val="en-US"/>
              </w:rPr>
            </w:pPr>
            <w:r w:rsidRPr="002E7BE4">
              <w:rPr>
                <w:rFonts w:ascii="ArialMT" w:hAnsi="ArialMT"/>
                <w:sz w:val="21"/>
                <w:szCs w:val="21"/>
                <w:lang w:val="en-US"/>
              </w:rPr>
              <w:t>&gt; 1,600</w:t>
            </w:r>
          </w:p>
        </w:tc>
        <w:tc>
          <w:tcPr>
            <w:tcW w:w="3378" w:type="dxa"/>
            <w:tcBorders>
              <w:top w:val="single" w:sz="4"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6F97DC67" w14:textId="77777777" w:rsidR="00A74034" w:rsidRPr="002E7BE4" w:rsidRDefault="00A74034" w:rsidP="00936E4F">
            <w:pPr>
              <w:jc w:val="right"/>
              <w:rPr>
                <w:rFonts w:ascii="ArialMT" w:hAnsi="ArialMT"/>
                <w:sz w:val="21"/>
                <w:szCs w:val="21"/>
                <w:lang w:val="en-US"/>
              </w:rPr>
            </w:pPr>
            <w:r w:rsidRPr="002E7BE4">
              <w:rPr>
                <w:rFonts w:ascii="ArialMT" w:hAnsi="ArialMT"/>
                <w:sz w:val="21"/>
                <w:szCs w:val="21"/>
                <w:lang w:val="en-US"/>
              </w:rPr>
              <w:t>To be discussed later</w:t>
            </w:r>
          </w:p>
        </w:tc>
      </w:tr>
      <w:tr w:rsidR="00A74034" w:rsidRPr="002E7BE4" w14:paraId="7C562960" w14:textId="77777777" w:rsidTr="00936E4F">
        <w:tc>
          <w:tcPr>
            <w:tcW w:w="704" w:type="dxa"/>
            <w:vMerge/>
            <w:tcBorders>
              <w:left w:val="single" w:sz="4" w:space="0" w:color="E7E6E6" w:themeColor="background2"/>
              <w:bottom w:val="single" w:sz="4" w:space="0" w:color="E7E6E6" w:themeColor="background2"/>
              <w:right w:val="single" w:sz="8" w:space="0" w:color="000000" w:themeColor="text1"/>
            </w:tcBorders>
            <w:vAlign w:val="center"/>
          </w:tcPr>
          <w:p w14:paraId="086D649F" w14:textId="77777777" w:rsidR="00A74034" w:rsidRPr="002E7BE4" w:rsidRDefault="00A74034" w:rsidP="00936E4F">
            <w:pPr>
              <w:jc w:val="center"/>
              <w:rPr>
                <w:rFonts w:ascii="Arial" w:hAnsi="Arial" w:cs="Arial"/>
                <w:lang w:val="en-US"/>
              </w:rPr>
            </w:pPr>
          </w:p>
        </w:tc>
        <w:tc>
          <w:tcPr>
            <w:tcW w:w="473" w:type="dxa"/>
            <w:vMerge/>
            <w:tcBorders>
              <w:left w:val="single" w:sz="8" w:space="0" w:color="000000" w:themeColor="text1"/>
              <w:bottom w:val="single" w:sz="4" w:space="0" w:color="E7E6E6" w:themeColor="background2"/>
              <w:right w:val="single" w:sz="8" w:space="0" w:color="000000" w:themeColor="text1"/>
            </w:tcBorders>
            <w:vAlign w:val="center"/>
          </w:tcPr>
          <w:p w14:paraId="67B9E041" w14:textId="77777777" w:rsidR="00A74034" w:rsidRPr="002E7BE4" w:rsidRDefault="00A74034" w:rsidP="00936E4F">
            <w:pPr>
              <w:jc w:val="center"/>
              <w:rPr>
                <w:rFonts w:ascii="Arial" w:hAnsi="Arial" w:cs="Arial"/>
                <w:lang w:val="en-US"/>
              </w:rPr>
            </w:pPr>
          </w:p>
        </w:tc>
        <w:tc>
          <w:tcPr>
            <w:tcW w:w="3378" w:type="dxa"/>
            <w:gridSpan w:val="2"/>
            <w:tcBorders>
              <w:top w:val="single" w:sz="8" w:space="0" w:color="E7E6E6" w:themeColor="background2"/>
              <w:left w:val="single" w:sz="8" w:space="0" w:color="000000" w:themeColor="text1"/>
              <w:bottom w:val="single" w:sz="4" w:space="0" w:color="E7E6E6" w:themeColor="background2"/>
              <w:right w:val="single" w:sz="4" w:space="0" w:color="000000" w:themeColor="text1"/>
            </w:tcBorders>
            <w:vAlign w:val="center"/>
          </w:tcPr>
          <w:p w14:paraId="60DD1C2A" w14:textId="77777777" w:rsidR="00A74034" w:rsidRPr="002E7BE4" w:rsidRDefault="00A74034" w:rsidP="00936E4F">
            <w:pPr>
              <w:ind w:right="909"/>
              <w:jc w:val="right"/>
              <w:rPr>
                <w:rFonts w:ascii="ArialMT" w:hAnsi="ArialMT"/>
                <w:sz w:val="21"/>
                <w:szCs w:val="21"/>
                <w:lang w:val="en-US"/>
              </w:rPr>
            </w:pPr>
          </w:p>
        </w:tc>
        <w:tc>
          <w:tcPr>
            <w:tcW w:w="3378" w:type="dxa"/>
            <w:tcBorders>
              <w:top w:val="single" w:sz="4" w:space="0" w:color="E7E6E6" w:themeColor="background2"/>
              <w:left w:val="single" w:sz="4" w:space="0" w:color="000000" w:themeColor="text1"/>
              <w:bottom w:val="single" w:sz="4" w:space="0" w:color="E7E6E6" w:themeColor="background2"/>
              <w:right w:val="single" w:sz="4" w:space="0" w:color="E7E6E6" w:themeColor="background2"/>
            </w:tcBorders>
            <w:vAlign w:val="center"/>
          </w:tcPr>
          <w:p w14:paraId="1D8E6F72" w14:textId="77777777" w:rsidR="00A74034" w:rsidRPr="002E7BE4" w:rsidRDefault="00A74034" w:rsidP="00936E4F">
            <w:pPr>
              <w:ind w:right="1170"/>
              <w:jc w:val="right"/>
              <w:rPr>
                <w:rFonts w:ascii="ArialMT" w:hAnsi="ArialMT"/>
                <w:sz w:val="21"/>
                <w:szCs w:val="21"/>
                <w:lang w:val="en-US"/>
              </w:rPr>
            </w:pPr>
          </w:p>
        </w:tc>
      </w:tr>
      <w:tr w:rsidR="00A74034" w:rsidRPr="002E7BE4" w14:paraId="1BFE120B" w14:textId="77777777" w:rsidTr="00936E4F">
        <w:trPr>
          <w:trHeight w:val="1020"/>
        </w:trPr>
        <w:tc>
          <w:tcPr>
            <w:tcW w:w="704" w:type="dxa"/>
            <w:vMerge w:val="restart"/>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107E3439" w14:textId="77777777" w:rsidR="00A74034" w:rsidRPr="002E7BE4" w:rsidRDefault="00A74034" w:rsidP="00936E4F">
            <w:pPr>
              <w:jc w:val="center"/>
              <w:rPr>
                <w:rFonts w:ascii="Arial" w:hAnsi="Arial" w:cs="Arial"/>
                <w:lang w:val="en-US"/>
              </w:rPr>
            </w:pPr>
          </w:p>
        </w:tc>
        <w:tc>
          <w:tcPr>
            <w:tcW w:w="473" w:type="dxa"/>
            <w:vMerge w:val="restart"/>
            <w:tcBorders>
              <w:top w:val="single" w:sz="4" w:space="0" w:color="E7E6E6" w:themeColor="background2"/>
              <w:left w:val="single" w:sz="8" w:space="0" w:color="000000" w:themeColor="text1"/>
              <w:bottom w:val="nil"/>
              <w:right w:val="single" w:sz="8" w:space="0" w:color="000000" w:themeColor="text1"/>
            </w:tcBorders>
            <w:vAlign w:val="center"/>
          </w:tcPr>
          <w:p w14:paraId="54A63B5C" w14:textId="77777777" w:rsidR="00A74034" w:rsidRPr="002E7BE4" w:rsidRDefault="00A74034" w:rsidP="00936E4F">
            <w:pPr>
              <w:jc w:val="center"/>
              <w:rPr>
                <w:rFonts w:ascii="Arial" w:hAnsi="Arial" w:cs="Arial"/>
                <w:lang w:val="en-US"/>
              </w:rPr>
            </w:pPr>
          </w:p>
        </w:tc>
        <w:tc>
          <w:tcPr>
            <w:tcW w:w="6756"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8400B4C" w14:textId="77777777" w:rsidR="00A74034" w:rsidRPr="002E7BE4" w:rsidRDefault="00A74034" w:rsidP="00936E4F">
            <w:pPr>
              <w:ind w:right="36"/>
              <w:jc w:val="both"/>
              <w:rPr>
                <w:rFonts w:ascii="ArialMT" w:hAnsi="ArialMT"/>
                <w:lang w:val="en-US"/>
              </w:rPr>
            </w:pPr>
            <w:r w:rsidRPr="002E7BE4">
              <w:rPr>
                <w:rFonts w:ascii="ArialMT" w:hAnsi="ArialMT"/>
                <w:lang w:val="en-US"/>
              </w:rPr>
              <w:t>If the power demand of the service-user’s transformer increases in future, he shall pay additional connection charge according to the tariff prevailing at that time.</w:t>
            </w:r>
          </w:p>
        </w:tc>
      </w:tr>
      <w:tr w:rsidR="00A74034" w:rsidRPr="002E7BE4" w14:paraId="2D7CA29B" w14:textId="77777777" w:rsidTr="00936E4F">
        <w:trPr>
          <w:trHeight w:val="397"/>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D06E2A5" w14:textId="77777777" w:rsidR="00A74034" w:rsidRPr="002E7BE4" w:rsidRDefault="00A74034" w:rsidP="00936E4F">
            <w:pPr>
              <w:jc w:val="center"/>
              <w:rPr>
                <w:rFonts w:ascii="Arial" w:hAnsi="Arial" w:cs="Arial"/>
                <w:lang w:val="en-US"/>
              </w:rPr>
            </w:pPr>
          </w:p>
        </w:tc>
        <w:tc>
          <w:tcPr>
            <w:tcW w:w="473" w:type="dxa"/>
            <w:vMerge/>
            <w:tcBorders>
              <w:top w:val="nil"/>
              <w:left w:val="single" w:sz="8" w:space="0" w:color="000000" w:themeColor="text1"/>
              <w:bottom w:val="nil"/>
              <w:right w:val="single" w:sz="8" w:space="0" w:color="000000" w:themeColor="text1"/>
            </w:tcBorders>
            <w:vAlign w:val="center"/>
          </w:tcPr>
          <w:p w14:paraId="0C31CC0E" w14:textId="77777777" w:rsidR="00A74034" w:rsidRPr="002E7BE4" w:rsidRDefault="00A74034" w:rsidP="00936E4F">
            <w:pPr>
              <w:jc w:val="center"/>
              <w:rPr>
                <w:rFonts w:ascii="Arial" w:hAnsi="Arial" w:cs="Arial"/>
                <w:lang w:val="en-US"/>
              </w:rPr>
            </w:pPr>
          </w:p>
        </w:tc>
        <w:tc>
          <w:tcPr>
            <w:tcW w:w="6756"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D6DEF27" w14:textId="77777777" w:rsidR="00A74034" w:rsidRPr="002E7BE4" w:rsidRDefault="00A74034" w:rsidP="00936E4F">
            <w:pPr>
              <w:ind w:right="36"/>
              <w:rPr>
                <w:rFonts w:ascii="ArialMT" w:hAnsi="ArialMT"/>
                <w:b/>
                <w:bCs/>
                <w:lang w:val="en-US"/>
              </w:rPr>
            </w:pPr>
            <w:r w:rsidRPr="002E7BE4">
              <w:rPr>
                <w:rFonts w:ascii="ArialMT" w:hAnsi="ArialMT"/>
                <w:b/>
                <w:bCs/>
                <w:lang w:val="en-US"/>
              </w:rPr>
              <w:t>Notes:</w:t>
            </w:r>
          </w:p>
        </w:tc>
      </w:tr>
      <w:tr w:rsidR="00A74034" w:rsidRPr="002E7BE4" w14:paraId="17B77AA4" w14:textId="77777777" w:rsidTr="00936E4F">
        <w:trPr>
          <w:trHeight w:val="102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176DC77" w14:textId="77777777" w:rsidR="00A74034" w:rsidRPr="002E7BE4" w:rsidRDefault="00A74034" w:rsidP="00936E4F">
            <w:pPr>
              <w:jc w:val="center"/>
              <w:rPr>
                <w:rFonts w:ascii="Arial" w:hAnsi="Arial" w:cs="Arial"/>
                <w:lang w:val="en-US"/>
              </w:rPr>
            </w:pPr>
          </w:p>
        </w:tc>
        <w:tc>
          <w:tcPr>
            <w:tcW w:w="473" w:type="dxa"/>
            <w:vMerge/>
            <w:tcBorders>
              <w:top w:val="nil"/>
              <w:left w:val="single" w:sz="8" w:space="0" w:color="000000" w:themeColor="text1"/>
              <w:bottom w:val="nil"/>
              <w:right w:val="single" w:sz="8" w:space="0" w:color="000000" w:themeColor="text1"/>
            </w:tcBorders>
            <w:vAlign w:val="center"/>
          </w:tcPr>
          <w:p w14:paraId="67F497FF" w14:textId="77777777" w:rsidR="00A74034" w:rsidRPr="002E7BE4" w:rsidRDefault="00A74034" w:rsidP="00936E4F">
            <w:pPr>
              <w:jc w:val="center"/>
              <w:rPr>
                <w:rFonts w:ascii="Arial" w:hAnsi="Arial" w:cs="Arial"/>
                <w:lang w:val="en-US"/>
              </w:rPr>
            </w:pPr>
          </w:p>
        </w:tc>
        <w:tc>
          <w:tcPr>
            <w:tcW w:w="572"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2D77F884" w14:textId="77777777" w:rsidR="00A74034" w:rsidRPr="002E7BE4" w:rsidRDefault="00A74034" w:rsidP="00936E4F">
            <w:pPr>
              <w:spacing w:before="80"/>
              <w:ind w:right="36"/>
              <w:jc w:val="center"/>
              <w:rPr>
                <w:rFonts w:ascii="ArialMT" w:hAnsi="ArialMT"/>
                <w:lang w:val="en-US"/>
              </w:rPr>
            </w:pPr>
            <w:r w:rsidRPr="002E7BE4">
              <w:rPr>
                <w:rFonts w:ascii="ArialMT" w:hAnsi="ArialMT"/>
                <w:lang w:val="en-US"/>
              </w:rPr>
              <w:t>1</w:t>
            </w:r>
          </w:p>
        </w:tc>
        <w:tc>
          <w:tcPr>
            <w:tcW w:w="6184"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E85A27D" w14:textId="77777777" w:rsidR="00A74034" w:rsidRPr="002E7BE4" w:rsidRDefault="00A74034" w:rsidP="00936E4F">
            <w:pPr>
              <w:ind w:right="36"/>
              <w:rPr>
                <w:rFonts w:ascii="ArialMT" w:hAnsi="ArialMT"/>
                <w:lang w:val="en-US"/>
              </w:rPr>
            </w:pPr>
            <w:r w:rsidRPr="002E7BE4">
              <w:rPr>
                <w:rFonts w:ascii="ArialMT" w:hAnsi="ArialMT"/>
                <w:lang w:val="en-US"/>
              </w:rPr>
              <w:t>For the first year, the service-user is to inform KMIC of peak power demand forecast for the first five years after commencement of operation.</w:t>
            </w:r>
          </w:p>
        </w:tc>
      </w:tr>
      <w:tr w:rsidR="00A74034" w:rsidRPr="002E7BE4" w14:paraId="4546582F" w14:textId="77777777" w:rsidTr="00936E4F">
        <w:trPr>
          <w:trHeight w:val="1247"/>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4E8A856" w14:textId="77777777" w:rsidR="00A74034" w:rsidRPr="002E7BE4" w:rsidRDefault="00A74034" w:rsidP="00936E4F">
            <w:pPr>
              <w:jc w:val="center"/>
              <w:rPr>
                <w:rFonts w:ascii="Arial" w:hAnsi="Arial" w:cs="Arial"/>
                <w:lang w:val="en-US"/>
              </w:rPr>
            </w:pPr>
          </w:p>
        </w:tc>
        <w:tc>
          <w:tcPr>
            <w:tcW w:w="473" w:type="dxa"/>
            <w:vMerge/>
            <w:tcBorders>
              <w:top w:val="nil"/>
              <w:left w:val="single" w:sz="8" w:space="0" w:color="000000" w:themeColor="text1"/>
              <w:bottom w:val="single" w:sz="4" w:space="0" w:color="E7E6E6" w:themeColor="background2"/>
              <w:right w:val="single" w:sz="8" w:space="0" w:color="000000" w:themeColor="text1"/>
            </w:tcBorders>
            <w:vAlign w:val="center"/>
          </w:tcPr>
          <w:p w14:paraId="1C8EE561" w14:textId="77777777" w:rsidR="00A74034" w:rsidRPr="002E7BE4" w:rsidRDefault="00A74034" w:rsidP="00936E4F">
            <w:pPr>
              <w:jc w:val="center"/>
              <w:rPr>
                <w:rFonts w:ascii="Arial" w:hAnsi="Arial" w:cs="Arial"/>
                <w:lang w:val="en-US"/>
              </w:rPr>
            </w:pPr>
          </w:p>
        </w:tc>
        <w:tc>
          <w:tcPr>
            <w:tcW w:w="572"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310270B6" w14:textId="77777777" w:rsidR="00A74034" w:rsidRPr="002E7BE4" w:rsidRDefault="00A74034" w:rsidP="00936E4F">
            <w:pPr>
              <w:spacing w:before="80"/>
              <w:ind w:right="36"/>
              <w:jc w:val="center"/>
              <w:rPr>
                <w:rFonts w:ascii="ArialMT" w:hAnsi="ArialMT"/>
                <w:lang w:val="en-US"/>
              </w:rPr>
            </w:pPr>
            <w:r w:rsidRPr="002E7BE4">
              <w:rPr>
                <w:rFonts w:ascii="ArialMT" w:hAnsi="ArialMT"/>
                <w:lang w:val="en-US"/>
              </w:rPr>
              <w:t>2</w:t>
            </w:r>
          </w:p>
        </w:tc>
        <w:tc>
          <w:tcPr>
            <w:tcW w:w="6184"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5AAD1FB" w14:textId="77777777" w:rsidR="00A74034" w:rsidRPr="002E7BE4" w:rsidRDefault="00A74034" w:rsidP="00936E4F">
            <w:pPr>
              <w:ind w:right="36"/>
              <w:jc w:val="both"/>
              <w:rPr>
                <w:rFonts w:ascii="ArialMT" w:hAnsi="ArialMT"/>
                <w:lang w:val="en-US"/>
              </w:rPr>
            </w:pPr>
            <w:r w:rsidRPr="002E7BE4">
              <w:rPr>
                <w:rFonts w:ascii="ArialMT" w:hAnsi="ArialMT"/>
                <w:lang w:val="en-US"/>
              </w:rPr>
              <w:t>The service-user shall notify KMIC of peak power demand forecast for the next two fiscal years before the end of September each year. (Fiscal year: October 1 – September 30)</w:t>
            </w:r>
          </w:p>
        </w:tc>
      </w:tr>
      <w:tr w:rsidR="00A74034" w:rsidRPr="002E7BE4" w14:paraId="7D85754B"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6B1E049" w14:textId="77777777" w:rsidR="00A74034" w:rsidRPr="002E7BE4" w:rsidRDefault="00A74034" w:rsidP="00936E4F">
            <w:pPr>
              <w:jc w:val="center"/>
              <w:rPr>
                <w:rFonts w:ascii="Arial" w:hAnsi="Arial" w:cs="Arial"/>
                <w:lang w:val="en-US"/>
              </w:rPr>
            </w:pPr>
          </w:p>
        </w:tc>
        <w:tc>
          <w:tcPr>
            <w:tcW w:w="47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60F628DC" w14:textId="77777777" w:rsidR="00A74034" w:rsidRPr="002E7BE4" w:rsidRDefault="00A74034" w:rsidP="00936E4F">
            <w:pPr>
              <w:jc w:val="center"/>
              <w:rPr>
                <w:rFonts w:ascii="Arial" w:hAnsi="Arial" w:cs="Arial"/>
                <w:lang w:val="en-US"/>
              </w:rPr>
            </w:pPr>
            <w:r w:rsidRPr="002E7BE4">
              <w:rPr>
                <w:rFonts w:ascii="Arial" w:hAnsi="Arial" w:cs="Arial"/>
                <w:lang w:val="en-US"/>
              </w:rPr>
              <w:t>c</w:t>
            </w:r>
          </w:p>
        </w:tc>
        <w:tc>
          <w:tcPr>
            <w:tcW w:w="6756"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E8A5FAE" w14:textId="77777777" w:rsidR="00A74034" w:rsidRPr="002E7BE4" w:rsidRDefault="00A74034" w:rsidP="00936E4F">
            <w:pPr>
              <w:ind w:right="36"/>
              <w:jc w:val="both"/>
              <w:rPr>
                <w:rFonts w:ascii="ArialMT" w:hAnsi="ArialMT"/>
                <w:b/>
                <w:bCs/>
                <w:lang w:val="en-US"/>
              </w:rPr>
            </w:pPr>
            <w:r w:rsidRPr="002E7BE4">
              <w:rPr>
                <w:rFonts w:ascii="ArialMT" w:hAnsi="ArialMT"/>
                <w:b/>
                <w:bCs/>
                <w:lang w:val="en-US"/>
              </w:rPr>
              <w:t>Electricity charge</w:t>
            </w:r>
          </w:p>
        </w:tc>
      </w:tr>
      <w:tr w:rsidR="00A74034" w:rsidRPr="002E7BE4" w14:paraId="1DFA5255"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03F1AB58" w14:textId="77777777" w:rsidR="00A74034" w:rsidRPr="002E7BE4" w:rsidRDefault="00A74034" w:rsidP="00936E4F">
            <w:pPr>
              <w:jc w:val="center"/>
              <w:rPr>
                <w:rFonts w:ascii="Arial" w:hAnsi="Arial" w:cs="Arial"/>
                <w:lang w:val="en-US"/>
              </w:rPr>
            </w:pPr>
          </w:p>
        </w:tc>
        <w:tc>
          <w:tcPr>
            <w:tcW w:w="473" w:type="dxa"/>
            <w:vMerge w:val="restart"/>
            <w:tcBorders>
              <w:top w:val="single" w:sz="4" w:space="0" w:color="E7E6E6" w:themeColor="background2"/>
              <w:left w:val="single" w:sz="8" w:space="0" w:color="000000" w:themeColor="text1"/>
              <w:bottom w:val="nil"/>
              <w:right w:val="single" w:sz="8" w:space="0" w:color="000000" w:themeColor="text1"/>
            </w:tcBorders>
            <w:vAlign w:val="center"/>
          </w:tcPr>
          <w:p w14:paraId="6947146D" w14:textId="77777777" w:rsidR="00A74034" w:rsidRPr="002E7BE4" w:rsidRDefault="00A74034" w:rsidP="00936E4F">
            <w:pPr>
              <w:jc w:val="center"/>
              <w:rPr>
                <w:rFonts w:ascii="Arial" w:hAnsi="Arial" w:cs="Arial"/>
                <w:lang w:val="en-US"/>
              </w:rPr>
            </w:pPr>
          </w:p>
        </w:tc>
        <w:tc>
          <w:tcPr>
            <w:tcW w:w="6756"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66E7820C" w14:textId="77777777" w:rsidR="00A74034" w:rsidRPr="002E7BE4" w:rsidRDefault="00A74034" w:rsidP="00936E4F">
            <w:pPr>
              <w:pStyle w:val="a4"/>
              <w:spacing w:before="120" w:beforeAutospacing="0" w:after="80" w:afterAutospacing="0"/>
              <w:jc w:val="both"/>
              <w:rPr>
                <w:rFonts w:ascii="ArialMT" w:hAnsi="ArialMT"/>
                <w:lang w:val="en-US"/>
              </w:rPr>
            </w:pPr>
            <w:r w:rsidRPr="002E7BE4">
              <w:rPr>
                <w:rFonts w:ascii="ArialMT" w:hAnsi="ArialMT"/>
                <w:lang w:val="en-US"/>
              </w:rPr>
              <w:t>The service-user shall pay the service-provider:</w:t>
            </w:r>
          </w:p>
          <w:p w14:paraId="5A74E824" w14:textId="77777777" w:rsidR="00A74034" w:rsidRPr="002E7BE4" w:rsidRDefault="00A74034" w:rsidP="00936E4F">
            <w:pPr>
              <w:pStyle w:val="a4"/>
              <w:tabs>
                <w:tab w:val="right" w:pos="479"/>
                <w:tab w:val="left" w:pos="763"/>
              </w:tabs>
              <w:spacing w:before="0" w:beforeAutospacing="0" w:after="0" w:afterAutospacing="0"/>
              <w:ind w:left="763" w:hanging="763"/>
              <w:jc w:val="both"/>
              <w:rPr>
                <w:rFonts w:ascii="ArialMT" w:hAnsi="ArialMT"/>
                <w:lang w:val="en-US"/>
              </w:rPr>
            </w:pPr>
            <w:r w:rsidRPr="002E7BE4">
              <w:rPr>
                <w:rFonts w:ascii="ArialMT" w:hAnsi="ArialMT"/>
                <w:lang w:val="en-US"/>
              </w:rPr>
              <w:tab/>
              <w:t>1</w:t>
            </w:r>
            <w:r w:rsidRPr="002E7BE4">
              <w:rPr>
                <w:rFonts w:ascii="ArialMT" w:hAnsi="ArialMT"/>
                <w:lang w:val="en-US"/>
              </w:rPr>
              <w:tab/>
              <w:t>electricity unit charge</w:t>
            </w:r>
          </w:p>
          <w:p w14:paraId="51FA887D" w14:textId="77777777" w:rsidR="00A74034" w:rsidRPr="002E7BE4" w:rsidRDefault="00A74034" w:rsidP="00936E4F">
            <w:pPr>
              <w:pStyle w:val="a4"/>
              <w:tabs>
                <w:tab w:val="right" w:pos="479"/>
                <w:tab w:val="left" w:pos="763"/>
              </w:tabs>
              <w:spacing w:before="0" w:beforeAutospacing="0" w:after="0" w:afterAutospacing="0"/>
              <w:ind w:left="763" w:hanging="763"/>
              <w:jc w:val="both"/>
              <w:rPr>
                <w:rFonts w:ascii="ArialMT" w:hAnsi="ArialMT"/>
                <w:lang w:val="en-US"/>
              </w:rPr>
            </w:pPr>
            <w:r w:rsidRPr="002E7BE4">
              <w:rPr>
                <w:rFonts w:ascii="ArialMT" w:hAnsi="ArialMT"/>
                <w:lang w:val="en-US"/>
              </w:rPr>
              <w:lastRenderedPageBreak/>
              <w:tab/>
              <w:t>2</w:t>
            </w:r>
            <w:r w:rsidRPr="002E7BE4">
              <w:rPr>
                <w:rFonts w:ascii="ArialMT" w:hAnsi="ArialMT"/>
                <w:lang w:val="en-US"/>
              </w:rPr>
              <w:tab/>
              <w:t xml:space="preserve">Horse Power charge (capacity charge), and </w:t>
            </w:r>
          </w:p>
          <w:p w14:paraId="13531455" w14:textId="77777777" w:rsidR="00A74034" w:rsidRPr="002E7BE4" w:rsidRDefault="00A74034" w:rsidP="00936E4F">
            <w:pPr>
              <w:pStyle w:val="a4"/>
              <w:tabs>
                <w:tab w:val="right" w:pos="479"/>
                <w:tab w:val="left" w:pos="763"/>
              </w:tabs>
              <w:spacing w:before="0" w:beforeAutospacing="0" w:after="120" w:afterAutospacing="0"/>
              <w:ind w:left="763" w:hanging="763"/>
              <w:jc w:val="both"/>
              <w:rPr>
                <w:rFonts w:ascii="ArialMT" w:hAnsi="ArialMT"/>
                <w:lang w:val="en-US"/>
              </w:rPr>
            </w:pPr>
            <w:r w:rsidRPr="002E7BE4">
              <w:rPr>
                <w:rFonts w:ascii="ArialMT" w:hAnsi="ArialMT"/>
                <w:lang w:val="en-US"/>
              </w:rPr>
              <w:tab/>
              <w:t>3</w:t>
            </w:r>
            <w:r w:rsidRPr="002E7BE4">
              <w:rPr>
                <w:rFonts w:ascii="ArialMT" w:hAnsi="ArialMT"/>
                <w:lang w:val="en-US"/>
              </w:rPr>
              <w:tab/>
              <w:t>any other charges (electricity charge in a collective term), depending on consumption volume each month, according to the tariff of—</w:t>
            </w:r>
          </w:p>
          <w:p w14:paraId="753FAA16" w14:textId="77777777" w:rsidR="00A74034" w:rsidRPr="002E7BE4" w:rsidRDefault="00A74034" w:rsidP="00936E4F">
            <w:pPr>
              <w:pStyle w:val="a4"/>
              <w:tabs>
                <w:tab w:val="right" w:pos="479"/>
                <w:tab w:val="left" w:pos="757"/>
              </w:tabs>
              <w:spacing w:before="0" w:beforeAutospacing="0" w:after="0" w:afterAutospacing="0"/>
              <w:jc w:val="both"/>
              <w:rPr>
                <w:rFonts w:ascii="ArialMT" w:hAnsi="ArialMT"/>
                <w:lang w:val="en-US"/>
              </w:rPr>
            </w:pPr>
            <w:r w:rsidRPr="002E7BE4">
              <w:rPr>
                <w:rFonts w:ascii="ArialMT" w:hAnsi="ArialMT"/>
                <w:lang w:val="en-US"/>
              </w:rPr>
              <w:tab/>
              <w:t>(a)</w:t>
            </w:r>
            <w:r w:rsidRPr="002E7BE4">
              <w:rPr>
                <w:rFonts w:ascii="ArialMT" w:hAnsi="ArialMT"/>
                <w:lang w:val="en-US"/>
              </w:rPr>
              <w:tab/>
              <w:t>Electricity Supply Enterprise (ESE)</w:t>
            </w:r>
          </w:p>
          <w:p w14:paraId="266D0A73" w14:textId="77777777" w:rsidR="00A74034" w:rsidRPr="002E7BE4" w:rsidRDefault="00A74034" w:rsidP="00936E4F">
            <w:pPr>
              <w:pStyle w:val="a4"/>
              <w:tabs>
                <w:tab w:val="right" w:pos="479"/>
                <w:tab w:val="left" w:pos="757"/>
              </w:tabs>
              <w:spacing w:before="0" w:beforeAutospacing="0" w:after="0" w:afterAutospacing="0"/>
              <w:jc w:val="both"/>
              <w:rPr>
                <w:rFonts w:ascii="ArialMT" w:hAnsi="ArialMT"/>
                <w:lang w:val="en-US"/>
              </w:rPr>
            </w:pPr>
            <w:r w:rsidRPr="002E7BE4">
              <w:rPr>
                <w:rFonts w:ascii="ArialMT" w:hAnsi="ArialMT"/>
                <w:lang w:val="en-US"/>
              </w:rPr>
              <w:tab/>
              <w:t>(b)</w:t>
            </w:r>
            <w:r w:rsidRPr="002E7BE4">
              <w:rPr>
                <w:rFonts w:ascii="ArialMT" w:hAnsi="ArialMT"/>
                <w:lang w:val="en-US"/>
              </w:rPr>
              <w:tab/>
              <w:t xml:space="preserve">Yangon Electricity Supply Corporation (YESC) and </w:t>
            </w:r>
          </w:p>
          <w:p w14:paraId="4036AC61" w14:textId="77777777" w:rsidR="00A74034" w:rsidRPr="002E7BE4" w:rsidRDefault="00A74034" w:rsidP="00936E4F">
            <w:pPr>
              <w:pStyle w:val="a4"/>
              <w:tabs>
                <w:tab w:val="right" w:pos="479"/>
                <w:tab w:val="left" w:pos="757"/>
              </w:tabs>
              <w:spacing w:before="0" w:beforeAutospacing="0" w:after="120" w:afterAutospacing="0"/>
              <w:jc w:val="both"/>
              <w:rPr>
                <w:rFonts w:ascii="ArialMT" w:hAnsi="ArialMT"/>
                <w:lang w:val="en-US"/>
              </w:rPr>
            </w:pPr>
            <w:r w:rsidRPr="002E7BE4">
              <w:rPr>
                <w:rFonts w:ascii="ArialMT" w:hAnsi="ArialMT"/>
                <w:lang w:val="en-US"/>
              </w:rPr>
              <w:tab/>
              <w:t>(c)</w:t>
            </w:r>
            <w:r w:rsidRPr="002E7BE4">
              <w:rPr>
                <w:rFonts w:ascii="ArialMT" w:hAnsi="ArialMT"/>
                <w:lang w:val="en-US"/>
              </w:rPr>
              <w:tab/>
              <w:t>Mandalay Electricity Supply Corporation (MESC)</w:t>
            </w:r>
          </w:p>
          <w:p w14:paraId="0C7FCD79" w14:textId="77777777" w:rsidR="00A74034" w:rsidRPr="002E7BE4" w:rsidRDefault="00A74034" w:rsidP="00936E4F">
            <w:pPr>
              <w:spacing w:after="120"/>
              <w:ind w:right="36"/>
              <w:jc w:val="both"/>
              <w:rPr>
                <w:rFonts w:ascii="ArialMT" w:hAnsi="ArialMT"/>
                <w:lang w:val="en-US"/>
              </w:rPr>
            </w:pPr>
            <w:r w:rsidRPr="002E7BE4">
              <w:rPr>
                <w:rFonts w:ascii="ArialMT" w:hAnsi="ArialMT"/>
                <w:lang w:val="en-US"/>
              </w:rPr>
              <w:t>The current electricity charge of the above three entities—subject to change—is mentioned as follows:</w:t>
            </w:r>
          </w:p>
        </w:tc>
      </w:tr>
      <w:tr w:rsidR="00A74034" w:rsidRPr="002E7BE4" w14:paraId="2CE3C8FD"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7354346" w14:textId="77777777" w:rsidR="00A74034" w:rsidRPr="002E7BE4" w:rsidRDefault="00A74034" w:rsidP="00936E4F">
            <w:pPr>
              <w:jc w:val="center"/>
              <w:rPr>
                <w:rFonts w:ascii="Arial" w:hAnsi="Arial" w:cs="Arial"/>
                <w:lang w:val="en-US"/>
              </w:rPr>
            </w:pPr>
          </w:p>
        </w:tc>
        <w:tc>
          <w:tcPr>
            <w:tcW w:w="473" w:type="dxa"/>
            <w:vMerge/>
            <w:tcBorders>
              <w:top w:val="nil"/>
              <w:left w:val="single" w:sz="8" w:space="0" w:color="000000" w:themeColor="text1"/>
              <w:bottom w:val="nil"/>
              <w:right w:val="single" w:sz="8" w:space="0" w:color="000000" w:themeColor="text1"/>
            </w:tcBorders>
            <w:vAlign w:val="center"/>
          </w:tcPr>
          <w:p w14:paraId="41629757" w14:textId="77777777" w:rsidR="00A74034" w:rsidRPr="002E7BE4" w:rsidRDefault="00A74034" w:rsidP="00936E4F">
            <w:pPr>
              <w:jc w:val="center"/>
              <w:rPr>
                <w:rFonts w:ascii="Arial" w:hAnsi="Arial" w:cs="Arial"/>
                <w:lang w:val="en-US"/>
              </w:rPr>
            </w:pPr>
          </w:p>
        </w:tc>
        <w:tc>
          <w:tcPr>
            <w:tcW w:w="3378" w:type="dxa"/>
            <w:gridSpan w:val="2"/>
            <w:tcBorders>
              <w:top w:val="single" w:sz="4" w:space="0" w:color="E7E6E6" w:themeColor="background2"/>
              <w:left w:val="single" w:sz="8" w:space="0" w:color="000000" w:themeColor="text1"/>
              <w:bottom w:val="single" w:sz="4" w:space="0" w:color="000000" w:themeColor="text1"/>
              <w:right w:val="single" w:sz="4" w:space="0" w:color="000000" w:themeColor="text1"/>
            </w:tcBorders>
            <w:vAlign w:val="center"/>
          </w:tcPr>
          <w:p w14:paraId="7E54C64F" w14:textId="77777777" w:rsidR="00A74034" w:rsidRPr="002E7BE4" w:rsidRDefault="00A74034" w:rsidP="00936E4F">
            <w:pPr>
              <w:pStyle w:val="a4"/>
              <w:spacing w:before="0" w:beforeAutospacing="0" w:after="0" w:afterAutospacing="0"/>
              <w:jc w:val="center"/>
              <w:rPr>
                <w:rFonts w:ascii="ArialMT" w:hAnsi="ArialMT"/>
                <w:lang w:val="en-US"/>
              </w:rPr>
            </w:pPr>
            <w:r w:rsidRPr="002E7BE4">
              <w:rPr>
                <w:rFonts w:ascii="Arial" w:hAnsi="Arial" w:cs="Arial"/>
                <w:b/>
                <w:bCs/>
                <w:sz w:val="20"/>
                <w:szCs w:val="20"/>
              </w:rPr>
              <w:t xml:space="preserve">Actual </w:t>
            </w:r>
            <w:r w:rsidRPr="002E7BE4">
              <w:rPr>
                <w:rFonts w:ascii="Arial" w:hAnsi="Arial" w:cs="Arial"/>
                <w:b/>
                <w:bCs/>
                <w:sz w:val="20"/>
                <w:szCs w:val="20"/>
                <w:lang w:val="en-US"/>
              </w:rPr>
              <w:t>e</w:t>
            </w:r>
            <w:r w:rsidRPr="002E7BE4">
              <w:rPr>
                <w:rFonts w:ascii="Arial" w:hAnsi="Arial" w:cs="Arial"/>
                <w:b/>
                <w:bCs/>
                <w:sz w:val="20"/>
                <w:szCs w:val="20"/>
              </w:rPr>
              <w:t xml:space="preserve">lectricity </w:t>
            </w:r>
            <w:r w:rsidRPr="002E7BE4">
              <w:rPr>
                <w:rFonts w:ascii="Arial" w:hAnsi="Arial" w:cs="Arial"/>
                <w:b/>
                <w:bCs/>
                <w:sz w:val="20"/>
                <w:szCs w:val="20"/>
                <w:lang w:val="en-US"/>
              </w:rPr>
              <w:t>c</w:t>
            </w:r>
            <w:r w:rsidRPr="002E7BE4">
              <w:rPr>
                <w:rFonts w:ascii="Arial" w:hAnsi="Arial" w:cs="Arial"/>
                <w:b/>
                <w:bCs/>
                <w:sz w:val="20"/>
                <w:szCs w:val="20"/>
              </w:rPr>
              <w:t>onsump- tion (kWh/month)</w:t>
            </w:r>
          </w:p>
        </w:tc>
        <w:tc>
          <w:tcPr>
            <w:tcW w:w="3378" w:type="dxa"/>
            <w:tcBorders>
              <w:top w:val="single" w:sz="4" w:space="0" w:color="E7E6E6" w:themeColor="background2"/>
              <w:left w:val="single" w:sz="4" w:space="0" w:color="000000" w:themeColor="text1"/>
              <w:bottom w:val="single" w:sz="4" w:space="0" w:color="000000" w:themeColor="text1"/>
              <w:right w:val="single" w:sz="4" w:space="0" w:color="E7E6E6" w:themeColor="background2"/>
            </w:tcBorders>
            <w:vAlign w:val="center"/>
          </w:tcPr>
          <w:p w14:paraId="1548BF82" w14:textId="77777777" w:rsidR="00A74034" w:rsidRPr="002E7BE4" w:rsidRDefault="00A74034" w:rsidP="00936E4F">
            <w:pPr>
              <w:pStyle w:val="a4"/>
              <w:spacing w:before="0" w:beforeAutospacing="0" w:after="0" w:afterAutospacing="0"/>
              <w:jc w:val="center"/>
              <w:rPr>
                <w:rFonts w:ascii="Arial" w:hAnsi="Arial" w:cs="Arial"/>
                <w:b/>
                <w:bCs/>
                <w:sz w:val="20"/>
                <w:szCs w:val="20"/>
              </w:rPr>
            </w:pPr>
            <w:r w:rsidRPr="002E7BE4">
              <w:rPr>
                <w:rFonts w:ascii="Arial" w:hAnsi="Arial" w:cs="Arial"/>
                <w:b/>
                <w:bCs/>
                <w:sz w:val="20"/>
                <w:szCs w:val="20"/>
              </w:rPr>
              <w:t xml:space="preserve">Electricity </w:t>
            </w:r>
            <w:r w:rsidRPr="002E7BE4">
              <w:rPr>
                <w:rFonts w:ascii="Arial" w:hAnsi="Arial" w:cs="Arial"/>
                <w:b/>
                <w:bCs/>
                <w:sz w:val="20"/>
                <w:szCs w:val="20"/>
                <w:lang w:val="en-US"/>
              </w:rPr>
              <w:t>u</w:t>
            </w:r>
            <w:r w:rsidRPr="002E7BE4">
              <w:rPr>
                <w:rFonts w:ascii="Arial" w:hAnsi="Arial" w:cs="Arial"/>
                <w:b/>
                <w:bCs/>
                <w:sz w:val="20"/>
                <w:szCs w:val="20"/>
              </w:rPr>
              <w:t xml:space="preserve">nit </w:t>
            </w:r>
            <w:r w:rsidRPr="002E7BE4">
              <w:rPr>
                <w:rFonts w:ascii="Arial" w:hAnsi="Arial" w:cs="Arial"/>
                <w:b/>
                <w:bCs/>
                <w:sz w:val="20"/>
                <w:szCs w:val="20"/>
                <w:lang w:val="en-US"/>
              </w:rPr>
              <w:t>c</w:t>
            </w:r>
            <w:r w:rsidRPr="002E7BE4">
              <w:rPr>
                <w:rFonts w:ascii="Arial" w:hAnsi="Arial" w:cs="Arial"/>
                <w:b/>
                <w:bCs/>
                <w:sz w:val="20"/>
                <w:szCs w:val="20"/>
              </w:rPr>
              <w:t>harge</w:t>
            </w:r>
          </w:p>
          <w:p w14:paraId="22E7ACFA" w14:textId="77777777" w:rsidR="00A74034" w:rsidRPr="002E7BE4" w:rsidRDefault="00A74034" w:rsidP="00936E4F">
            <w:pPr>
              <w:pStyle w:val="a4"/>
              <w:spacing w:before="0" w:beforeAutospacing="0" w:after="0" w:afterAutospacing="0"/>
              <w:jc w:val="center"/>
              <w:rPr>
                <w:rFonts w:ascii="ArialMT" w:hAnsi="ArialMT"/>
                <w:lang w:val="en-US"/>
              </w:rPr>
            </w:pPr>
            <w:r w:rsidRPr="002E7BE4">
              <w:rPr>
                <w:rFonts w:ascii="Arial" w:hAnsi="Arial" w:cs="Arial"/>
                <w:b/>
                <w:bCs/>
                <w:sz w:val="20"/>
                <w:szCs w:val="20"/>
              </w:rPr>
              <w:t>(In MMK/kWh)</w:t>
            </w:r>
          </w:p>
        </w:tc>
      </w:tr>
      <w:tr w:rsidR="00A74034" w:rsidRPr="002E7BE4" w14:paraId="5ED7BB0B" w14:textId="77777777" w:rsidTr="00936E4F">
        <w:trPr>
          <w:trHeight w:val="283"/>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9A26767" w14:textId="77777777" w:rsidR="00A74034" w:rsidRPr="002E7BE4" w:rsidRDefault="00A74034" w:rsidP="00936E4F">
            <w:pPr>
              <w:jc w:val="center"/>
              <w:rPr>
                <w:rFonts w:ascii="Arial" w:hAnsi="Arial" w:cs="Arial"/>
                <w:lang w:val="en-US"/>
              </w:rPr>
            </w:pPr>
          </w:p>
        </w:tc>
        <w:tc>
          <w:tcPr>
            <w:tcW w:w="473" w:type="dxa"/>
            <w:vMerge/>
            <w:tcBorders>
              <w:top w:val="nil"/>
              <w:left w:val="single" w:sz="8" w:space="0" w:color="000000" w:themeColor="text1"/>
              <w:bottom w:val="nil"/>
              <w:right w:val="single" w:sz="8" w:space="0" w:color="000000" w:themeColor="text1"/>
            </w:tcBorders>
            <w:vAlign w:val="center"/>
          </w:tcPr>
          <w:p w14:paraId="2665BDED" w14:textId="77777777" w:rsidR="00A74034" w:rsidRPr="002E7BE4" w:rsidRDefault="00A74034" w:rsidP="00936E4F">
            <w:pPr>
              <w:jc w:val="center"/>
              <w:rPr>
                <w:rFonts w:ascii="Arial" w:hAnsi="Arial" w:cs="Arial"/>
                <w:lang w:val="en-US"/>
              </w:rPr>
            </w:pPr>
          </w:p>
        </w:tc>
        <w:tc>
          <w:tcPr>
            <w:tcW w:w="3378" w:type="dxa"/>
            <w:gridSpan w:val="2"/>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2833E8F8" w14:textId="77777777" w:rsidR="00A74034" w:rsidRPr="002E7BE4" w:rsidRDefault="00A74034" w:rsidP="00936E4F">
            <w:pPr>
              <w:pStyle w:val="a4"/>
              <w:spacing w:before="0" w:beforeAutospacing="0" w:after="0" w:afterAutospacing="0"/>
              <w:ind w:right="625"/>
              <w:jc w:val="right"/>
              <w:rPr>
                <w:rFonts w:ascii="ArialMT" w:hAnsi="ArialMT"/>
                <w:lang w:val="en-US"/>
              </w:rPr>
            </w:pPr>
            <w:r w:rsidRPr="002E7BE4">
              <w:rPr>
                <w:rFonts w:ascii="ArialMT" w:hAnsi="ArialMT"/>
                <w:sz w:val="21"/>
                <w:szCs w:val="21"/>
                <w:lang w:val="en-US"/>
              </w:rPr>
              <w:t xml:space="preserve">0 – 500 </w:t>
            </w:r>
          </w:p>
        </w:tc>
        <w:tc>
          <w:tcPr>
            <w:tcW w:w="3378"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6A7D2A96" w14:textId="77777777" w:rsidR="00A74034" w:rsidRPr="002E7BE4" w:rsidRDefault="00A74034" w:rsidP="00936E4F">
            <w:pPr>
              <w:pStyle w:val="a4"/>
              <w:spacing w:before="0" w:beforeAutospacing="0" w:after="0" w:afterAutospacing="0"/>
              <w:ind w:right="1312"/>
              <w:jc w:val="right"/>
              <w:rPr>
                <w:rFonts w:ascii="ArialMT" w:hAnsi="ArialMT"/>
                <w:lang w:val="en-US"/>
              </w:rPr>
            </w:pPr>
            <w:r w:rsidRPr="002E7BE4">
              <w:rPr>
                <w:rFonts w:ascii="ArialMT" w:hAnsi="ArialMT"/>
                <w:sz w:val="21"/>
                <w:szCs w:val="21"/>
                <w:lang w:val="en-US"/>
              </w:rPr>
              <w:t>75</w:t>
            </w:r>
          </w:p>
        </w:tc>
      </w:tr>
      <w:tr w:rsidR="00A74034" w:rsidRPr="002E7BE4" w14:paraId="53DA9DDA" w14:textId="77777777" w:rsidTr="00936E4F">
        <w:trPr>
          <w:trHeight w:val="283"/>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152F8D2F" w14:textId="77777777" w:rsidR="00A74034" w:rsidRPr="002E7BE4" w:rsidRDefault="00A74034" w:rsidP="00936E4F">
            <w:pPr>
              <w:jc w:val="center"/>
              <w:rPr>
                <w:rFonts w:ascii="Arial" w:hAnsi="Arial" w:cs="Arial"/>
                <w:lang w:val="en-US"/>
              </w:rPr>
            </w:pPr>
          </w:p>
        </w:tc>
        <w:tc>
          <w:tcPr>
            <w:tcW w:w="473" w:type="dxa"/>
            <w:vMerge/>
            <w:tcBorders>
              <w:top w:val="nil"/>
              <w:left w:val="single" w:sz="8" w:space="0" w:color="000000" w:themeColor="text1"/>
              <w:bottom w:val="nil"/>
              <w:right w:val="single" w:sz="8" w:space="0" w:color="000000" w:themeColor="text1"/>
            </w:tcBorders>
            <w:vAlign w:val="center"/>
          </w:tcPr>
          <w:p w14:paraId="5C480509" w14:textId="77777777" w:rsidR="00A74034" w:rsidRPr="002E7BE4" w:rsidRDefault="00A74034" w:rsidP="00936E4F">
            <w:pPr>
              <w:jc w:val="center"/>
              <w:rPr>
                <w:rFonts w:ascii="Arial" w:hAnsi="Arial" w:cs="Arial"/>
                <w:lang w:val="en-US"/>
              </w:rPr>
            </w:pPr>
          </w:p>
        </w:tc>
        <w:tc>
          <w:tcPr>
            <w:tcW w:w="3378" w:type="dxa"/>
            <w:gridSpan w:val="2"/>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51F6169D" w14:textId="77777777" w:rsidR="00A74034" w:rsidRPr="002E7BE4" w:rsidRDefault="00A74034" w:rsidP="00936E4F">
            <w:pPr>
              <w:pStyle w:val="a4"/>
              <w:spacing w:before="0" w:beforeAutospacing="0" w:after="0" w:afterAutospacing="0"/>
              <w:ind w:right="625"/>
              <w:jc w:val="right"/>
              <w:rPr>
                <w:rFonts w:ascii="ArialMT" w:hAnsi="ArialMT"/>
                <w:lang w:val="en-US"/>
              </w:rPr>
            </w:pPr>
            <w:r w:rsidRPr="002E7BE4">
              <w:rPr>
                <w:rFonts w:ascii="ArialMT" w:hAnsi="ArialMT"/>
                <w:sz w:val="21"/>
                <w:szCs w:val="21"/>
                <w:lang w:val="en-US"/>
              </w:rPr>
              <w:t xml:space="preserve">&gt; 500 – 10,000 </w:t>
            </w:r>
          </w:p>
        </w:tc>
        <w:tc>
          <w:tcPr>
            <w:tcW w:w="3378"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68CE77E6" w14:textId="77777777" w:rsidR="00A74034" w:rsidRPr="002E7BE4" w:rsidRDefault="00A74034" w:rsidP="00936E4F">
            <w:pPr>
              <w:pStyle w:val="a4"/>
              <w:spacing w:before="0" w:beforeAutospacing="0" w:after="0" w:afterAutospacing="0"/>
              <w:ind w:right="1312"/>
              <w:jc w:val="right"/>
              <w:rPr>
                <w:rFonts w:ascii="ArialMT" w:hAnsi="ArialMT"/>
                <w:lang w:val="en-US"/>
              </w:rPr>
            </w:pPr>
            <w:r w:rsidRPr="002E7BE4">
              <w:rPr>
                <w:rFonts w:ascii="ArialMT" w:hAnsi="ArialMT"/>
                <w:sz w:val="21"/>
                <w:szCs w:val="21"/>
                <w:lang w:val="en-US"/>
              </w:rPr>
              <w:t>100</w:t>
            </w:r>
          </w:p>
        </w:tc>
      </w:tr>
      <w:tr w:rsidR="00A74034" w:rsidRPr="002E7BE4" w14:paraId="7482FFB5" w14:textId="77777777" w:rsidTr="00936E4F">
        <w:trPr>
          <w:trHeight w:val="283"/>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04E6923C" w14:textId="77777777" w:rsidR="00A74034" w:rsidRPr="002E7BE4" w:rsidRDefault="00A74034" w:rsidP="00936E4F">
            <w:pPr>
              <w:jc w:val="center"/>
              <w:rPr>
                <w:rFonts w:ascii="Arial" w:hAnsi="Arial" w:cs="Arial"/>
                <w:lang w:val="en-US"/>
              </w:rPr>
            </w:pPr>
          </w:p>
        </w:tc>
        <w:tc>
          <w:tcPr>
            <w:tcW w:w="473" w:type="dxa"/>
            <w:vMerge/>
            <w:tcBorders>
              <w:top w:val="nil"/>
              <w:left w:val="single" w:sz="8" w:space="0" w:color="000000" w:themeColor="text1"/>
              <w:bottom w:val="nil"/>
              <w:right w:val="single" w:sz="8" w:space="0" w:color="000000" w:themeColor="text1"/>
            </w:tcBorders>
            <w:vAlign w:val="center"/>
          </w:tcPr>
          <w:p w14:paraId="1C84B9B4" w14:textId="77777777" w:rsidR="00A74034" w:rsidRPr="002E7BE4" w:rsidRDefault="00A74034" w:rsidP="00936E4F">
            <w:pPr>
              <w:jc w:val="center"/>
              <w:rPr>
                <w:rFonts w:ascii="Arial" w:hAnsi="Arial" w:cs="Arial"/>
                <w:lang w:val="en-US"/>
              </w:rPr>
            </w:pPr>
          </w:p>
        </w:tc>
        <w:tc>
          <w:tcPr>
            <w:tcW w:w="3378" w:type="dxa"/>
            <w:gridSpan w:val="2"/>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2AD4E0D2" w14:textId="77777777" w:rsidR="00A74034" w:rsidRPr="002E7BE4" w:rsidRDefault="00A74034" w:rsidP="00936E4F">
            <w:pPr>
              <w:pStyle w:val="a4"/>
              <w:spacing w:before="0" w:beforeAutospacing="0" w:after="0" w:afterAutospacing="0"/>
              <w:ind w:right="625"/>
              <w:jc w:val="right"/>
              <w:rPr>
                <w:rFonts w:ascii="ArialMT" w:hAnsi="ArialMT"/>
                <w:lang w:val="en-US"/>
              </w:rPr>
            </w:pPr>
            <w:r w:rsidRPr="002E7BE4">
              <w:rPr>
                <w:rFonts w:ascii="ArialMT" w:hAnsi="ArialMT"/>
                <w:sz w:val="21"/>
                <w:szCs w:val="21"/>
                <w:lang w:val="en-US"/>
              </w:rPr>
              <w:t>&gt; 10,000 – 50,000</w:t>
            </w:r>
          </w:p>
        </w:tc>
        <w:tc>
          <w:tcPr>
            <w:tcW w:w="3378"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43C19522" w14:textId="77777777" w:rsidR="00A74034" w:rsidRPr="002E7BE4" w:rsidRDefault="00A74034" w:rsidP="00936E4F">
            <w:pPr>
              <w:pStyle w:val="a4"/>
              <w:spacing w:before="0" w:beforeAutospacing="0" w:after="0" w:afterAutospacing="0"/>
              <w:ind w:right="1312"/>
              <w:jc w:val="right"/>
              <w:rPr>
                <w:rFonts w:ascii="ArialMT" w:hAnsi="ArialMT"/>
                <w:lang w:val="en-US"/>
              </w:rPr>
            </w:pPr>
            <w:r w:rsidRPr="002E7BE4">
              <w:rPr>
                <w:rFonts w:ascii="ArialMT" w:hAnsi="ArialMT"/>
                <w:sz w:val="21"/>
                <w:szCs w:val="21"/>
                <w:lang w:val="en-US"/>
              </w:rPr>
              <w:t>125</w:t>
            </w:r>
          </w:p>
        </w:tc>
      </w:tr>
      <w:tr w:rsidR="00A74034" w:rsidRPr="002E7BE4" w14:paraId="77D76219" w14:textId="77777777" w:rsidTr="00936E4F">
        <w:trPr>
          <w:trHeight w:val="283"/>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098B218" w14:textId="77777777" w:rsidR="00A74034" w:rsidRPr="002E7BE4" w:rsidRDefault="00A74034" w:rsidP="00936E4F">
            <w:pPr>
              <w:jc w:val="center"/>
              <w:rPr>
                <w:rFonts w:ascii="Arial" w:hAnsi="Arial" w:cs="Arial"/>
                <w:lang w:val="en-US"/>
              </w:rPr>
            </w:pPr>
          </w:p>
        </w:tc>
        <w:tc>
          <w:tcPr>
            <w:tcW w:w="473" w:type="dxa"/>
            <w:vMerge/>
            <w:tcBorders>
              <w:top w:val="nil"/>
              <w:left w:val="single" w:sz="8" w:space="0" w:color="000000" w:themeColor="text1"/>
              <w:bottom w:val="nil"/>
              <w:right w:val="single" w:sz="8" w:space="0" w:color="000000" w:themeColor="text1"/>
            </w:tcBorders>
            <w:vAlign w:val="center"/>
          </w:tcPr>
          <w:p w14:paraId="5CF53FEC" w14:textId="77777777" w:rsidR="00A74034" w:rsidRPr="002E7BE4" w:rsidRDefault="00A74034" w:rsidP="00936E4F">
            <w:pPr>
              <w:jc w:val="center"/>
              <w:rPr>
                <w:rFonts w:ascii="Arial" w:hAnsi="Arial" w:cs="Arial"/>
                <w:lang w:val="en-US"/>
              </w:rPr>
            </w:pPr>
          </w:p>
        </w:tc>
        <w:tc>
          <w:tcPr>
            <w:tcW w:w="3378" w:type="dxa"/>
            <w:gridSpan w:val="2"/>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47A22E94" w14:textId="77777777" w:rsidR="00A74034" w:rsidRPr="002E7BE4" w:rsidRDefault="00A74034" w:rsidP="00936E4F">
            <w:pPr>
              <w:pStyle w:val="a4"/>
              <w:spacing w:before="0" w:beforeAutospacing="0" w:after="0" w:afterAutospacing="0"/>
              <w:ind w:right="625"/>
              <w:jc w:val="right"/>
              <w:rPr>
                <w:rFonts w:ascii="ArialMT" w:hAnsi="ArialMT"/>
                <w:lang w:val="en-US"/>
              </w:rPr>
            </w:pPr>
            <w:r w:rsidRPr="002E7BE4">
              <w:rPr>
                <w:rFonts w:ascii="ArialMT" w:hAnsi="ArialMT"/>
                <w:sz w:val="21"/>
                <w:szCs w:val="21"/>
                <w:lang w:val="en-US"/>
              </w:rPr>
              <w:t>&gt; 50,000 – 200,000</w:t>
            </w:r>
          </w:p>
        </w:tc>
        <w:tc>
          <w:tcPr>
            <w:tcW w:w="3378"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33E1C88C" w14:textId="77777777" w:rsidR="00A74034" w:rsidRPr="002E7BE4" w:rsidRDefault="00A74034" w:rsidP="00936E4F">
            <w:pPr>
              <w:pStyle w:val="a4"/>
              <w:spacing w:before="0" w:beforeAutospacing="0" w:after="0" w:afterAutospacing="0"/>
              <w:ind w:right="1312"/>
              <w:jc w:val="right"/>
              <w:rPr>
                <w:rFonts w:ascii="ArialMT" w:hAnsi="ArialMT"/>
                <w:lang w:val="en-US"/>
              </w:rPr>
            </w:pPr>
            <w:r w:rsidRPr="002E7BE4">
              <w:rPr>
                <w:rFonts w:ascii="ArialMT" w:hAnsi="ArialMT"/>
                <w:sz w:val="21"/>
                <w:szCs w:val="21"/>
                <w:lang w:val="en-US"/>
              </w:rPr>
              <w:t>150</w:t>
            </w:r>
          </w:p>
        </w:tc>
      </w:tr>
      <w:tr w:rsidR="00A74034" w:rsidRPr="002E7BE4" w14:paraId="61956322" w14:textId="77777777" w:rsidTr="00936E4F">
        <w:trPr>
          <w:trHeight w:val="283"/>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1CDB3E9D" w14:textId="77777777" w:rsidR="00A74034" w:rsidRPr="002E7BE4" w:rsidRDefault="00A74034" w:rsidP="00936E4F">
            <w:pPr>
              <w:jc w:val="center"/>
              <w:rPr>
                <w:rFonts w:ascii="Arial" w:hAnsi="Arial" w:cs="Arial"/>
                <w:lang w:val="en-US"/>
              </w:rPr>
            </w:pPr>
          </w:p>
        </w:tc>
        <w:tc>
          <w:tcPr>
            <w:tcW w:w="473" w:type="dxa"/>
            <w:vMerge/>
            <w:tcBorders>
              <w:top w:val="nil"/>
              <w:left w:val="single" w:sz="8" w:space="0" w:color="000000" w:themeColor="text1"/>
              <w:bottom w:val="nil"/>
              <w:right w:val="single" w:sz="8" w:space="0" w:color="000000" w:themeColor="text1"/>
            </w:tcBorders>
            <w:vAlign w:val="center"/>
          </w:tcPr>
          <w:p w14:paraId="21FDC54F" w14:textId="77777777" w:rsidR="00A74034" w:rsidRPr="002E7BE4" w:rsidRDefault="00A74034" w:rsidP="00936E4F">
            <w:pPr>
              <w:jc w:val="center"/>
              <w:rPr>
                <w:rFonts w:ascii="Arial" w:hAnsi="Arial" w:cs="Arial"/>
                <w:lang w:val="en-US"/>
              </w:rPr>
            </w:pPr>
          </w:p>
        </w:tc>
        <w:tc>
          <w:tcPr>
            <w:tcW w:w="3378" w:type="dxa"/>
            <w:gridSpan w:val="2"/>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1F872AFD" w14:textId="77777777" w:rsidR="00A74034" w:rsidRPr="002E7BE4" w:rsidRDefault="00A74034" w:rsidP="00936E4F">
            <w:pPr>
              <w:pStyle w:val="a4"/>
              <w:spacing w:before="0" w:beforeAutospacing="0" w:after="0" w:afterAutospacing="0"/>
              <w:ind w:right="625"/>
              <w:jc w:val="right"/>
              <w:rPr>
                <w:rFonts w:ascii="ArialMT" w:hAnsi="ArialMT"/>
                <w:lang w:val="en-US"/>
              </w:rPr>
            </w:pPr>
            <w:r w:rsidRPr="002E7BE4">
              <w:rPr>
                <w:rFonts w:ascii="ArialMT" w:hAnsi="ArialMT"/>
                <w:sz w:val="21"/>
                <w:szCs w:val="21"/>
                <w:lang w:val="en-US"/>
              </w:rPr>
              <w:t>&gt; 200,000 – 300,000</w:t>
            </w:r>
          </w:p>
        </w:tc>
        <w:tc>
          <w:tcPr>
            <w:tcW w:w="3378"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1F88E3BC" w14:textId="77777777" w:rsidR="00A74034" w:rsidRPr="002E7BE4" w:rsidRDefault="00A74034" w:rsidP="00936E4F">
            <w:pPr>
              <w:pStyle w:val="a4"/>
              <w:spacing w:before="0" w:beforeAutospacing="0" w:after="0" w:afterAutospacing="0"/>
              <w:ind w:right="1312"/>
              <w:jc w:val="right"/>
              <w:rPr>
                <w:rFonts w:ascii="ArialMT" w:hAnsi="ArialMT"/>
                <w:lang w:val="en-US"/>
              </w:rPr>
            </w:pPr>
            <w:r w:rsidRPr="002E7BE4">
              <w:rPr>
                <w:rFonts w:ascii="ArialMT" w:hAnsi="ArialMT"/>
                <w:sz w:val="21"/>
                <w:szCs w:val="21"/>
                <w:lang w:val="en-US"/>
              </w:rPr>
              <w:t>125</w:t>
            </w:r>
          </w:p>
        </w:tc>
      </w:tr>
      <w:tr w:rsidR="00A74034" w:rsidRPr="002E7BE4" w14:paraId="4AD3D1DF" w14:textId="77777777" w:rsidTr="00936E4F">
        <w:trPr>
          <w:trHeight w:val="283"/>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B090643" w14:textId="77777777" w:rsidR="00A74034" w:rsidRPr="002E7BE4" w:rsidRDefault="00A74034" w:rsidP="00936E4F">
            <w:pPr>
              <w:jc w:val="center"/>
              <w:rPr>
                <w:rFonts w:ascii="Arial" w:hAnsi="Arial" w:cs="Arial"/>
                <w:lang w:val="en-US"/>
              </w:rPr>
            </w:pPr>
          </w:p>
        </w:tc>
        <w:tc>
          <w:tcPr>
            <w:tcW w:w="473" w:type="dxa"/>
            <w:vMerge/>
            <w:tcBorders>
              <w:top w:val="nil"/>
              <w:left w:val="single" w:sz="8" w:space="0" w:color="000000" w:themeColor="text1"/>
              <w:bottom w:val="single" w:sz="4" w:space="0" w:color="E7E6E6" w:themeColor="background2"/>
              <w:right w:val="single" w:sz="8" w:space="0" w:color="000000" w:themeColor="text1"/>
            </w:tcBorders>
            <w:vAlign w:val="center"/>
          </w:tcPr>
          <w:p w14:paraId="64421C4B" w14:textId="77777777" w:rsidR="00A74034" w:rsidRPr="002E7BE4" w:rsidRDefault="00A74034" w:rsidP="00936E4F">
            <w:pPr>
              <w:jc w:val="center"/>
              <w:rPr>
                <w:rFonts w:ascii="Arial" w:hAnsi="Arial" w:cs="Arial"/>
                <w:lang w:val="en-US"/>
              </w:rPr>
            </w:pPr>
          </w:p>
        </w:tc>
        <w:tc>
          <w:tcPr>
            <w:tcW w:w="3378" w:type="dxa"/>
            <w:gridSpan w:val="2"/>
            <w:tcBorders>
              <w:top w:val="single" w:sz="4" w:space="0" w:color="000000" w:themeColor="text1"/>
              <w:left w:val="single" w:sz="8" w:space="0" w:color="000000" w:themeColor="text1"/>
              <w:bottom w:val="single" w:sz="4" w:space="0" w:color="E7E6E6" w:themeColor="background2"/>
              <w:right w:val="single" w:sz="4" w:space="0" w:color="000000" w:themeColor="text1"/>
            </w:tcBorders>
            <w:vAlign w:val="center"/>
          </w:tcPr>
          <w:p w14:paraId="57444EEC" w14:textId="77777777" w:rsidR="00A74034" w:rsidRPr="002E7BE4" w:rsidRDefault="00A74034" w:rsidP="00936E4F">
            <w:pPr>
              <w:pStyle w:val="a4"/>
              <w:spacing w:before="0" w:beforeAutospacing="0" w:after="0" w:afterAutospacing="0"/>
              <w:ind w:right="625"/>
              <w:jc w:val="right"/>
              <w:rPr>
                <w:rFonts w:ascii="ArialMT" w:hAnsi="ArialMT"/>
                <w:lang w:val="en-US"/>
              </w:rPr>
            </w:pPr>
            <w:r w:rsidRPr="002E7BE4">
              <w:rPr>
                <w:rFonts w:ascii="ArialMT" w:hAnsi="ArialMT"/>
                <w:sz w:val="21"/>
                <w:szCs w:val="21"/>
                <w:lang w:val="en-US"/>
              </w:rPr>
              <w:t xml:space="preserve">0 – 500 </w:t>
            </w:r>
          </w:p>
        </w:tc>
        <w:tc>
          <w:tcPr>
            <w:tcW w:w="3378" w:type="dxa"/>
            <w:tcBorders>
              <w:top w:val="single" w:sz="4" w:space="0" w:color="000000" w:themeColor="text1"/>
              <w:left w:val="single" w:sz="4" w:space="0" w:color="000000" w:themeColor="text1"/>
              <w:bottom w:val="single" w:sz="4" w:space="0" w:color="E7E6E6" w:themeColor="background2"/>
              <w:right w:val="single" w:sz="4" w:space="0" w:color="E7E6E6" w:themeColor="background2"/>
            </w:tcBorders>
            <w:vAlign w:val="center"/>
          </w:tcPr>
          <w:p w14:paraId="7294A03A" w14:textId="77777777" w:rsidR="00A74034" w:rsidRPr="002E7BE4" w:rsidRDefault="00A74034" w:rsidP="00936E4F">
            <w:pPr>
              <w:pStyle w:val="a4"/>
              <w:spacing w:before="0" w:beforeAutospacing="0" w:after="0" w:afterAutospacing="0"/>
              <w:ind w:right="1312"/>
              <w:jc w:val="right"/>
              <w:rPr>
                <w:rFonts w:ascii="ArialMT" w:hAnsi="ArialMT"/>
                <w:lang w:val="en-US"/>
              </w:rPr>
            </w:pPr>
            <w:r w:rsidRPr="002E7BE4">
              <w:rPr>
                <w:rFonts w:ascii="ArialMT" w:hAnsi="ArialMT"/>
                <w:sz w:val="21"/>
                <w:szCs w:val="21"/>
                <w:lang w:val="en-US"/>
              </w:rPr>
              <w:t>75</w:t>
            </w:r>
          </w:p>
        </w:tc>
      </w:tr>
      <w:tr w:rsidR="00A74034" w:rsidRPr="002E7BE4" w14:paraId="04885E14" w14:textId="77777777" w:rsidTr="00936E4F">
        <w:trPr>
          <w:trHeight w:val="34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B273B24" w14:textId="77777777" w:rsidR="00A74034" w:rsidRPr="002E7BE4" w:rsidRDefault="00A74034" w:rsidP="00936E4F">
            <w:pPr>
              <w:jc w:val="center"/>
              <w:rPr>
                <w:rFonts w:ascii="Arial" w:hAnsi="Arial" w:cs="Arial"/>
                <w:lang w:val="en-US"/>
              </w:rPr>
            </w:pPr>
          </w:p>
        </w:tc>
        <w:tc>
          <w:tcPr>
            <w:tcW w:w="47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6B14B9D4" w14:textId="77777777" w:rsidR="00A74034" w:rsidRPr="002E7BE4" w:rsidRDefault="00A74034" w:rsidP="00936E4F">
            <w:pPr>
              <w:jc w:val="center"/>
              <w:rPr>
                <w:rFonts w:ascii="Arial" w:hAnsi="Arial" w:cs="Arial"/>
                <w:lang w:val="en-US"/>
              </w:rPr>
            </w:pPr>
            <w:r w:rsidRPr="002E7BE4">
              <w:rPr>
                <w:rFonts w:ascii="Arial" w:hAnsi="Arial" w:cs="Arial"/>
                <w:lang w:val="en-US"/>
              </w:rPr>
              <w:t>d</w:t>
            </w:r>
          </w:p>
        </w:tc>
        <w:tc>
          <w:tcPr>
            <w:tcW w:w="6756"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529ED7C" w14:textId="77777777" w:rsidR="00A74034" w:rsidRPr="002E7BE4" w:rsidRDefault="00A74034" w:rsidP="00936E4F">
            <w:pPr>
              <w:pStyle w:val="a4"/>
              <w:spacing w:before="0" w:beforeAutospacing="0" w:after="0" w:afterAutospacing="0"/>
              <w:rPr>
                <w:rFonts w:ascii="ArialMT" w:hAnsi="ArialMT"/>
                <w:b/>
                <w:bCs/>
                <w:lang w:val="en-US"/>
              </w:rPr>
            </w:pPr>
            <w:r w:rsidRPr="002E7BE4">
              <w:rPr>
                <w:rFonts w:ascii="ArialMT" w:hAnsi="ArialMT"/>
                <w:b/>
                <w:bCs/>
                <w:lang w:val="en-US"/>
              </w:rPr>
              <w:t>Administration fee for power supply</w:t>
            </w:r>
          </w:p>
        </w:tc>
      </w:tr>
      <w:tr w:rsidR="00A74034" w:rsidRPr="002E7BE4" w14:paraId="05C503FF" w14:textId="77777777" w:rsidTr="00936E4F">
        <w:trPr>
          <w:trHeight w:val="34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E8DE94C" w14:textId="77777777" w:rsidR="00A74034" w:rsidRPr="002E7BE4" w:rsidRDefault="00A74034" w:rsidP="00936E4F">
            <w:pPr>
              <w:jc w:val="center"/>
              <w:rPr>
                <w:rFonts w:ascii="Arial" w:hAnsi="Arial" w:cs="Arial"/>
                <w:lang w:val="en-US"/>
              </w:rPr>
            </w:pPr>
          </w:p>
        </w:tc>
        <w:tc>
          <w:tcPr>
            <w:tcW w:w="47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253C061E" w14:textId="77777777" w:rsidR="00A74034" w:rsidRPr="002E7BE4" w:rsidRDefault="00A74034" w:rsidP="00936E4F">
            <w:pPr>
              <w:jc w:val="center"/>
              <w:rPr>
                <w:rFonts w:ascii="Arial" w:hAnsi="Arial" w:cs="Arial"/>
                <w:lang w:val="en-US"/>
              </w:rPr>
            </w:pPr>
          </w:p>
        </w:tc>
        <w:tc>
          <w:tcPr>
            <w:tcW w:w="6756"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AC369F8" w14:textId="77777777" w:rsidR="00A74034" w:rsidRPr="002E7BE4" w:rsidRDefault="00A74034" w:rsidP="00936E4F">
            <w:pPr>
              <w:pStyle w:val="a4"/>
              <w:spacing w:before="0" w:beforeAutospacing="0" w:after="0" w:afterAutospacing="0"/>
              <w:jc w:val="both"/>
              <w:rPr>
                <w:rFonts w:ascii="ArialMT" w:hAnsi="ArialMT"/>
                <w:lang w:val="en-US"/>
              </w:rPr>
            </w:pPr>
            <w:r w:rsidRPr="002E7BE4">
              <w:rPr>
                <w:rFonts w:ascii="ArialMT" w:hAnsi="ArialMT"/>
                <w:lang w:val="en-US"/>
              </w:rPr>
              <w:t>The service-user shall pay the service-provider an equivalence of 3.5% of the monthly electricity charge as Administration Fee for power supply (Net of any tax)</w:t>
            </w:r>
          </w:p>
        </w:tc>
      </w:tr>
    </w:tbl>
    <w:p w14:paraId="72370A40" w14:textId="77777777" w:rsidR="00A74034" w:rsidRPr="005331B6" w:rsidRDefault="00A74034" w:rsidP="00A74034">
      <w:pPr>
        <w:jc w:val="both"/>
        <w:rPr>
          <w:rFonts w:ascii="Arial" w:hAnsi="Arial" w:cs="Arial"/>
          <w:sz w:val="11"/>
          <w:szCs w:val="11"/>
          <w:lang w:val="en-US"/>
        </w:rPr>
      </w:pPr>
    </w:p>
    <w:tbl>
      <w:tblPr>
        <w:tblStyle w:val="a3"/>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701"/>
        <w:gridCol w:w="2528"/>
      </w:tblGrid>
      <w:tr w:rsidR="00A74034" w:rsidRPr="002E7BE4" w14:paraId="12084C4F"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4491376E" w14:textId="77777777" w:rsidR="00A74034" w:rsidRPr="002E7BE4" w:rsidRDefault="00A74034" w:rsidP="00936E4F">
            <w:pPr>
              <w:tabs>
                <w:tab w:val="right" w:leader="hyphen" w:pos="7643"/>
              </w:tabs>
              <w:rPr>
                <w:rFonts w:ascii="Arial" w:hAnsi="Arial" w:cs="Arial"/>
                <w:b/>
                <w:bCs/>
                <w:color w:val="0070C0"/>
                <w:sz w:val="28"/>
                <w:szCs w:val="28"/>
                <w:lang w:val="en-US"/>
              </w:rPr>
            </w:pPr>
            <w:r w:rsidRPr="002E7BE4">
              <w:rPr>
                <w:rFonts w:ascii="Arial" w:hAnsi="Arial" w:cs="Arial"/>
                <w:b/>
                <w:bCs/>
                <w:color w:val="0070C0"/>
                <w:sz w:val="28"/>
                <w:szCs w:val="28"/>
                <w:lang w:val="en-US"/>
              </w:rPr>
              <w:t>Telecommunication fees:</w:t>
            </w:r>
          </w:p>
        </w:tc>
      </w:tr>
      <w:tr w:rsidR="00A74034" w:rsidRPr="002E7BE4" w14:paraId="5C0E46EC" w14:textId="77777777" w:rsidTr="00936E4F">
        <w:trPr>
          <w:trHeight w:val="340"/>
        </w:trPr>
        <w:tc>
          <w:tcPr>
            <w:tcW w:w="704" w:type="dxa"/>
            <w:vMerge w:val="restart"/>
            <w:tcBorders>
              <w:top w:val="single" w:sz="8" w:space="0" w:color="000000" w:themeColor="text1"/>
              <w:left w:val="single" w:sz="4" w:space="0" w:color="E7E6E6" w:themeColor="background2"/>
              <w:right w:val="single" w:sz="8" w:space="0" w:color="000000" w:themeColor="text1"/>
            </w:tcBorders>
            <w:vAlign w:val="center"/>
          </w:tcPr>
          <w:p w14:paraId="636421E7" w14:textId="77777777" w:rsidR="00A74034" w:rsidRPr="002E7BE4" w:rsidRDefault="00A74034" w:rsidP="00936E4F">
            <w:pPr>
              <w:jc w:val="center"/>
              <w:rPr>
                <w:rFonts w:ascii="Arial" w:hAnsi="Arial" w:cs="Arial"/>
                <w:lang w:val="en-US"/>
              </w:rPr>
            </w:pPr>
          </w:p>
        </w:tc>
        <w:tc>
          <w:tcPr>
            <w:tcW w:w="4701" w:type="dxa"/>
            <w:tcBorders>
              <w:top w:val="single" w:sz="8" w:space="0" w:color="000000" w:themeColor="text1"/>
              <w:left w:val="single" w:sz="8" w:space="0" w:color="000000" w:themeColor="text1"/>
              <w:bottom w:val="single" w:sz="4" w:space="0" w:color="000000" w:themeColor="text1"/>
              <w:right w:val="single" w:sz="4" w:space="0" w:color="000000" w:themeColor="text1"/>
            </w:tcBorders>
            <w:vAlign w:val="center"/>
          </w:tcPr>
          <w:p w14:paraId="13758565" w14:textId="77777777" w:rsidR="00A74034" w:rsidRPr="002E7BE4" w:rsidRDefault="00A74034" w:rsidP="00936E4F">
            <w:pPr>
              <w:jc w:val="both"/>
              <w:rPr>
                <w:rFonts w:ascii="Arial" w:hAnsi="Arial" w:cs="Arial"/>
                <w:lang w:val="en-US"/>
              </w:rPr>
            </w:pPr>
          </w:p>
        </w:tc>
        <w:tc>
          <w:tcPr>
            <w:tcW w:w="2528" w:type="dxa"/>
            <w:tcBorders>
              <w:top w:val="single" w:sz="8" w:space="0" w:color="000000" w:themeColor="text1"/>
              <w:left w:val="single" w:sz="4" w:space="0" w:color="000000" w:themeColor="text1"/>
              <w:bottom w:val="single" w:sz="4" w:space="0" w:color="000000" w:themeColor="text1"/>
              <w:right w:val="single" w:sz="4" w:space="0" w:color="E7E6E6" w:themeColor="background2"/>
            </w:tcBorders>
            <w:vAlign w:val="center"/>
          </w:tcPr>
          <w:p w14:paraId="1E8B2B71" w14:textId="77777777" w:rsidR="00A74034" w:rsidRPr="002E7BE4" w:rsidRDefault="00A74034" w:rsidP="00936E4F">
            <w:pPr>
              <w:jc w:val="right"/>
              <w:rPr>
                <w:rFonts w:ascii="Arial" w:hAnsi="Arial" w:cs="Arial"/>
                <w:lang w:val="en-US"/>
              </w:rPr>
            </w:pPr>
            <w:r w:rsidRPr="002E7BE4">
              <w:rPr>
                <w:rFonts w:ascii="ArialMT" w:hAnsi="ArialMT"/>
                <w:lang w:val="en-US"/>
              </w:rPr>
              <w:t>USD (Net of any tax)</w:t>
            </w:r>
          </w:p>
        </w:tc>
      </w:tr>
      <w:tr w:rsidR="00A74034" w:rsidRPr="002E7BE4" w14:paraId="7DF1B17A" w14:textId="77777777" w:rsidTr="00936E4F">
        <w:trPr>
          <w:trHeight w:val="340"/>
        </w:trPr>
        <w:tc>
          <w:tcPr>
            <w:tcW w:w="704" w:type="dxa"/>
            <w:vMerge/>
            <w:tcBorders>
              <w:left w:val="single" w:sz="4" w:space="0" w:color="E7E6E6" w:themeColor="background2"/>
              <w:right w:val="single" w:sz="8" w:space="0" w:color="000000" w:themeColor="text1"/>
            </w:tcBorders>
            <w:vAlign w:val="center"/>
          </w:tcPr>
          <w:p w14:paraId="2AC3A068" w14:textId="77777777" w:rsidR="00A74034" w:rsidRPr="002E7BE4" w:rsidRDefault="00A74034" w:rsidP="00936E4F">
            <w:pPr>
              <w:jc w:val="center"/>
              <w:rPr>
                <w:rFonts w:ascii="Arial" w:hAnsi="Arial" w:cs="Arial"/>
                <w:lang w:val="en-US"/>
              </w:rPr>
            </w:pPr>
          </w:p>
        </w:tc>
        <w:tc>
          <w:tcPr>
            <w:tcW w:w="4701"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center"/>
          </w:tcPr>
          <w:p w14:paraId="2DED7300" w14:textId="77777777" w:rsidR="00A74034" w:rsidRPr="002E7BE4" w:rsidRDefault="00A74034" w:rsidP="00936E4F">
            <w:pPr>
              <w:rPr>
                <w:rFonts w:ascii="Arial" w:hAnsi="Arial" w:cs="Arial"/>
                <w:lang w:val="en-US"/>
              </w:rPr>
            </w:pPr>
            <w:r w:rsidRPr="002E7BE4">
              <w:rPr>
                <w:rFonts w:ascii="ArialMT" w:hAnsi="ArialMT"/>
                <w:lang w:val="en-US"/>
              </w:rPr>
              <w:t>Telecom connection charge</w:t>
            </w:r>
          </w:p>
        </w:tc>
        <w:tc>
          <w:tcPr>
            <w:tcW w:w="2528"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vAlign w:val="center"/>
          </w:tcPr>
          <w:p w14:paraId="096189D7" w14:textId="77777777" w:rsidR="00A74034" w:rsidRPr="002E7BE4" w:rsidRDefault="00A74034" w:rsidP="00936E4F">
            <w:pPr>
              <w:jc w:val="right"/>
              <w:rPr>
                <w:rFonts w:ascii="Arial" w:hAnsi="Arial" w:cs="Arial"/>
                <w:lang w:val="en-US"/>
              </w:rPr>
            </w:pPr>
            <w:r w:rsidRPr="002E7BE4">
              <w:rPr>
                <w:rFonts w:ascii="ArialMT" w:hAnsi="ArialMT"/>
                <w:lang w:val="en-US"/>
              </w:rPr>
              <w:t>8,000 / core</w:t>
            </w:r>
          </w:p>
        </w:tc>
      </w:tr>
      <w:tr w:rsidR="00A74034" w:rsidRPr="002E7BE4" w14:paraId="31E857B4" w14:textId="77777777" w:rsidTr="00936E4F">
        <w:trPr>
          <w:trHeight w:val="340"/>
        </w:trPr>
        <w:tc>
          <w:tcPr>
            <w:tcW w:w="704" w:type="dxa"/>
            <w:vMerge/>
            <w:tcBorders>
              <w:left w:val="single" w:sz="4" w:space="0" w:color="E7E6E6" w:themeColor="background2"/>
              <w:bottom w:val="single" w:sz="4" w:space="0" w:color="E7E6E6" w:themeColor="background2"/>
              <w:right w:val="single" w:sz="8" w:space="0" w:color="000000" w:themeColor="text1"/>
            </w:tcBorders>
            <w:vAlign w:val="center"/>
          </w:tcPr>
          <w:p w14:paraId="3C329440" w14:textId="77777777" w:rsidR="00A74034" w:rsidRPr="002E7BE4" w:rsidRDefault="00A74034" w:rsidP="00936E4F">
            <w:pPr>
              <w:jc w:val="center"/>
              <w:rPr>
                <w:rFonts w:ascii="Arial" w:hAnsi="Arial" w:cs="Arial"/>
                <w:lang w:val="en-US"/>
              </w:rPr>
            </w:pPr>
          </w:p>
        </w:tc>
        <w:tc>
          <w:tcPr>
            <w:tcW w:w="4701" w:type="dxa"/>
            <w:tcBorders>
              <w:top w:val="single" w:sz="4" w:space="0" w:color="000000" w:themeColor="text1"/>
              <w:left w:val="single" w:sz="8" w:space="0" w:color="000000" w:themeColor="text1"/>
              <w:bottom w:val="single" w:sz="4" w:space="0" w:color="E7E6E6" w:themeColor="background2"/>
              <w:right w:val="single" w:sz="4" w:space="0" w:color="000000" w:themeColor="text1"/>
            </w:tcBorders>
            <w:vAlign w:val="center"/>
          </w:tcPr>
          <w:p w14:paraId="7B6E29B2" w14:textId="77777777" w:rsidR="00A74034" w:rsidRPr="002E7BE4" w:rsidRDefault="00A74034" w:rsidP="00936E4F">
            <w:pPr>
              <w:rPr>
                <w:rFonts w:ascii="Arial" w:hAnsi="Arial" w:cs="Arial"/>
                <w:lang w:val="en-US"/>
              </w:rPr>
            </w:pPr>
            <w:r w:rsidRPr="002E7BE4">
              <w:rPr>
                <w:rFonts w:ascii="ArialMT" w:hAnsi="ArialMT"/>
                <w:lang w:val="en-US"/>
              </w:rPr>
              <w:t>Telecom admin &amp; maintenance charge</w:t>
            </w:r>
          </w:p>
        </w:tc>
        <w:tc>
          <w:tcPr>
            <w:tcW w:w="2528" w:type="dxa"/>
            <w:tcBorders>
              <w:top w:val="single" w:sz="4" w:space="0" w:color="000000" w:themeColor="text1"/>
              <w:left w:val="single" w:sz="4" w:space="0" w:color="000000" w:themeColor="text1"/>
              <w:bottom w:val="single" w:sz="4" w:space="0" w:color="E7E6E6" w:themeColor="background2"/>
              <w:right w:val="single" w:sz="4" w:space="0" w:color="E7E6E6" w:themeColor="background2"/>
            </w:tcBorders>
            <w:vAlign w:val="center"/>
          </w:tcPr>
          <w:p w14:paraId="4C4298AF" w14:textId="77777777" w:rsidR="00A74034" w:rsidRPr="002E7BE4" w:rsidRDefault="00A74034" w:rsidP="00936E4F">
            <w:pPr>
              <w:jc w:val="right"/>
              <w:rPr>
                <w:rFonts w:ascii="Arial" w:hAnsi="Arial" w:cs="Arial"/>
                <w:lang w:val="en-US"/>
              </w:rPr>
            </w:pPr>
            <w:r w:rsidRPr="002E7BE4">
              <w:rPr>
                <w:rFonts w:ascii="ArialMT" w:hAnsi="ArialMT"/>
                <w:lang w:val="en-US"/>
              </w:rPr>
              <w:t>800 core / month</w:t>
            </w:r>
          </w:p>
        </w:tc>
      </w:tr>
    </w:tbl>
    <w:p w14:paraId="39795DF9" w14:textId="77777777" w:rsidR="00A74034" w:rsidRPr="002E7BE4" w:rsidRDefault="00A74034" w:rsidP="00A74034">
      <w:pPr>
        <w:pStyle w:val="a4"/>
        <w:tabs>
          <w:tab w:val="right" w:pos="567"/>
          <w:tab w:val="left" w:pos="851"/>
        </w:tabs>
        <w:spacing w:before="0" w:beforeAutospacing="0" w:after="0" w:afterAutospacing="0"/>
        <w:jc w:val="both"/>
        <w:rPr>
          <w:rFonts w:ascii="Arial" w:hAnsi="Arial" w:cs="Arial"/>
          <w:sz w:val="22"/>
          <w:szCs w:val="22"/>
          <w:lang w:val="en-US"/>
        </w:rPr>
      </w:pPr>
      <w:r w:rsidRPr="002E7BE4">
        <w:rPr>
          <w:rFonts w:ascii="Arial" w:hAnsi="Arial" w:cs="Arial"/>
          <w:sz w:val="22"/>
          <w:szCs w:val="22"/>
          <w:lang w:val="en-US"/>
        </w:rPr>
        <w:t>--------------------------------------------------------------------------------------------------------------------------</w:t>
      </w:r>
    </w:p>
    <w:p w14:paraId="0016DB2C" w14:textId="77777777" w:rsidR="00A74034" w:rsidRPr="00F16021" w:rsidRDefault="00A74034" w:rsidP="00A74034">
      <w:pPr>
        <w:pStyle w:val="a4"/>
        <w:tabs>
          <w:tab w:val="right" w:pos="567"/>
          <w:tab w:val="left" w:pos="851"/>
        </w:tabs>
        <w:spacing w:before="0" w:beforeAutospacing="0" w:after="0" w:afterAutospacing="0"/>
        <w:ind w:left="851" w:hanging="851"/>
        <w:jc w:val="center"/>
        <w:rPr>
          <w:rFonts w:ascii="Arial" w:hAnsi="Arial" w:cs="Arial"/>
          <w:sz w:val="22"/>
          <w:szCs w:val="22"/>
          <w:lang w:val="en-US"/>
        </w:rPr>
      </w:pPr>
      <w:r w:rsidRPr="00F16021">
        <w:rPr>
          <w:rFonts w:ascii="Arial" w:hAnsi="Arial" w:cs="Arial"/>
          <w:sz w:val="22"/>
          <w:szCs w:val="22"/>
          <w:lang w:val="en-US"/>
        </w:rPr>
        <w:t>END OF PROCEDURE 3.18</w:t>
      </w:r>
    </w:p>
    <w:p w14:paraId="3A832E7A" w14:textId="77777777" w:rsidR="00317897" w:rsidRDefault="00A74034"/>
    <w:sectPr w:rsidR="003178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ArialMT">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34"/>
    <w:rsid w:val="00566A7E"/>
    <w:rsid w:val="00A74034"/>
    <w:rsid w:val="00AC6AB7"/>
    <w:rsid w:val="00BF24DA"/>
    <w:rsid w:val="00E76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337B"/>
  <w15:chartTrackingRefBased/>
  <w15:docId w15:val="{61CD8F59-42FB-4C30-BA65-48C904ED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034"/>
    <w:pPr>
      <w:spacing w:after="0" w:line="240" w:lineRule="auto"/>
      <w:jc w:val="left"/>
    </w:pPr>
    <w:rPr>
      <w:rFonts w:ascii="Times New Roman" w:eastAsia="Times New Roman" w:hAnsi="Times New Roman" w:cs="Times New Roman"/>
      <w:kern w:val="0"/>
      <w:sz w:val="24"/>
      <w:szCs w:val="24"/>
      <w:lang w:eastAsia="ja-JP"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4034"/>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74034"/>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1</cp:revision>
  <dcterms:created xsi:type="dcterms:W3CDTF">2021-01-20T11:10:00Z</dcterms:created>
  <dcterms:modified xsi:type="dcterms:W3CDTF">2021-01-20T11:10:00Z</dcterms:modified>
</cp:coreProperties>
</file>